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F61EE" w14:textId="20C4436A" w:rsidR="00BD5335" w:rsidRDefault="00BD5335" w:rsidP="00D95915">
      <w:pPr>
        <w:pStyle w:val="ASDEFCONTitle"/>
      </w:pPr>
      <w:r w:rsidRPr="002A29EA">
        <w:t>PRICE AND PAYMENTS (CORE)</w:t>
      </w:r>
    </w:p>
    <w:p w14:paraId="31BCD143" w14:textId="776E8046" w:rsidR="0051267D" w:rsidRDefault="0051267D" w:rsidP="00D95915">
      <w:pPr>
        <w:pStyle w:val="NoteToTenderers-ASDEFCON"/>
      </w:pPr>
      <w:r>
        <w:t xml:space="preserve">Note to tenderers:  Attachment B will consist of an amalgamation of information contained in TDR D, this </w:t>
      </w:r>
      <w:r w:rsidR="00A6147D">
        <w:t xml:space="preserve">draft </w:t>
      </w:r>
      <w:r w:rsidR="00B61985">
        <w:t>Attachment</w:t>
      </w:r>
      <w:r>
        <w:t>, the successful tenderer’s response</w:t>
      </w:r>
      <w:r w:rsidR="00856118">
        <w:t xml:space="preserve">, including the details tendered within the </w:t>
      </w:r>
      <w:r w:rsidR="00030639">
        <w:t>‘</w:t>
      </w:r>
      <w:r w:rsidR="00A13B7C">
        <w:t xml:space="preserve">Acquisition </w:t>
      </w:r>
      <w:r w:rsidR="00161F8B" w:rsidRPr="009E23B6">
        <w:t>Pricing Workbook</w:t>
      </w:r>
      <w:r w:rsidR="00030639">
        <w:t>’</w:t>
      </w:r>
      <w:r w:rsidR="00161F8B">
        <w:t xml:space="preserve"> (</w:t>
      </w:r>
      <w:r w:rsidR="00A13B7C">
        <w:t>ACQ</w:t>
      </w:r>
      <w:r w:rsidR="00161F8B">
        <w:t>PW)</w:t>
      </w:r>
      <w:r w:rsidR="003D7CC6">
        <w:t>,</w:t>
      </w:r>
      <w:r>
        <w:t xml:space="preserve"> and any negotiated adjustments.</w:t>
      </w:r>
      <w:r w:rsidR="00E12F37">
        <w:t xml:space="preserve"> </w:t>
      </w:r>
      <w:r w:rsidR="00E12F37" w:rsidRPr="00E12F37">
        <w:t xml:space="preserve"> </w:t>
      </w:r>
      <w:r w:rsidR="00E12F37">
        <w:t xml:space="preserve">Further guidance on completing the </w:t>
      </w:r>
      <w:r w:rsidR="00A13B7C">
        <w:t>ACQ</w:t>
      </w:r>
      <w:r w:rsidR="00161F8B">
        <w:t>PW</w:t>
      </w:r>
      <w:r w:rsidR="00E12F37">
        <w:t xml:space="preserve"> can be found</w:t>
      </w:r>
      <w:r w:rsidR="000A4F96">
        <w:t xml:space="preserve"> in the </w:t>
      </w:r>
      <w:r w:rsidR="009630F4">
        <w:t xml:space="preserve">ACQPW Guide and the </w:t>
      </w:r>
      <w:hyperlink r:id="rId8" w:history="1">
        <w:r w:rsidR="000A4F96" w:rsidRPr="00AD26DF">
          <w:rPr>
            <w:rStyle w:val="Hyperlink"/>
          </w:rPr>
          <w:t>ACE Guide for ASDEFCON</w:t>
        </w:r>
      </w:hyperlink>
      <w:r w:rsidR="004D4308">
        <w:t>.</w:t>
      </w:r>
    </w:p>
    <w:p w14:paraId="535473F6" w14:textId="7CE9F7D9" w:rsidR="003212FE" w:rsidRPr="002A29EA" w:rsidRDefault="00E32757" w:rsidP="00DA3A02">
      <w:pPr>
        <w:pStyle w:val="ATTANNLV1-ASDEFCON"/>
      </w:pPr>
      <w:r>
        <w:t>Pricing Structure</w:t>
      </w:r>
    </w:p>
    <w:p w14:paraId="56F087F2" w14:textId="0FCEB661" w:rsidR="00B61985" w:rsidRDefault="00BD5335" w:rsidP="00DA3A02">
      <w:pPr>
        <w:pStyle w:val="ATTANNLV2-ASDEFCON"/>
      </w:pPr>
      <w:bookmarkStart w:id="0" w:name="_Ref69279223"/>
      <w:r w:rsidRPr="002A29EA">
        <w:t xml:space="preserve">Attachment B </w:t>
      </w:r>
      <w:r w:rsidR="00B61985">
        <w:t>has</w:t>
      </w:r>
      <w:r w:rsidRPr="002A29EA">
        <w:t xml:space="preserve"> the following</w:t>
      </w:r>
      <w:r w:rsidR="00B61985">
        <w:t xml:space="preserve"> structure:</w:t>
      </w:r>
    </w:p>
    <w:p w14:paraId="49984A59" w14:textId="1F215279" w:rsidR="00DA3A02" w:rsidRPr="00DA3A02" w:rsidRDefault="00DA3A02" w:rsidP="00DA3A02">
      <w:pPr>
        <w:pStyle w:val="ASDEFCONNormal"/>
        <w:tabs>
          <w:tab w:val="left" w:pos="8505"/>
        </w:tabs>
        <w:rPr>
          <w:i/>
        </w:rPr>
      </w:pPr>
      <w:r w:rsidRPr="00DA3A02">
        <w:rPr>
          <w:i/>
        </w:rPr>
        <w:t>Clause</w:t>
      </w:r>
      <w:r w:rsidRPr="00DA3A02">
        <w:rPr>
          <w:i/>
        </w:rPr>
        <w:tab/>
        <w:t>page</w:t>
      </w:r>
    </w:p>
    <w:p w14:paraId="69D327B6" w14:textId="6E92EF77" w:rsidR="00006AF2" w:rsidRDefault="0003063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\t "COT/COC LV1 - ASDEFCON,1,SOW HL1 - ASDEFCON,1,SOW HL2 - ASDEFCON,2" </w:instrText>
      </w:r>
      <w:r>
        <w:rPr>
          <w:b w:val="0"/>
        </w:rPr>
        <w:fldChar w:fldCharType="separate"/>
      </w:r>
      <w:r w:rsidR="00006AF2">
        <w:t>2</w:t>
      </w:r>
      <w:r w:rsidR="00006AF2"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="00006AF2">
        <w:t>Price Schedule (CORE)</w:t>
      </w:r>
      <w:r w:rsidR="00006AF2">
        <w:tab/>
      </w:r>
      <w:r w:rsidR="00006AF2">
        <w:fldChar w:fldCharType="begin"/>
      </w:r>
      <w:r w:rsidR="00006AF2">
        <w:instrText xml:space="preserve"> PAGEREF _Toc175039453 \h </w:instrText>
      </w:r>
      <w:r w:rsidR="00006AF2">
        <w:fldChar w:fldCharType="separate"/>
      </w:r>
      <w:r w:rsidR="00006AF2">
        <w:t>2</w:t>
      </w:r>
      <w:r w:rsidR="00006AF2">
        <w:fldChar w:fldCharType="end"/>
      </w:r>
    </w:p>
    <w:p w14:paraId="64A76BEC" w14:textId="4882FC12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Schedule of Payments (CORE)</w:t>
      </w:r>
      <w:r>
        <w:tab/>
      </w:r>
      <w:r>
        <w:fldChar w:fldCharType="begin"/>
      </w:r>
      <w:r>
        <w:instrText xml:space="preserve"> PAGEREF _Toc175039454 \h </w:instrText>
      </w:r>
      <w:r>
        <w:fldChar w:fldCharType="separate"/>
      </w:r>
      <w:r>
        <w:t>2</w:t>
      </w:r>
      <w:r>
        <w:fldChar w:fldCharType="end"/>
      </w:r>
      <w:bookmarkStart w:id="1" w:name="_GoBack"/>
      <w:bookmarkEnd w:id="1"/>
    </w:p>
    <w:p w14:paraId="05E431C7" w14:textId="167062F3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Adjustments (CORE)</w:t>
      </w:r>
      <w:r>
        <w:tab/>
      </w:r>
      <w:r>
        <w:fldChar w:fldCharType="begin"/>
      </w:r>
      <w:r>
        <w:instrText xml:space="preserve"> PAGEREF _Toc175039455 \h </w:instrText>
      </w:r>
      <w:r>
        <w:fldChar w:fldCharType="separate"/>
      </w:r>
      <w:r>
        <w:t>3</w:t>
      </w:r>
      <w:r>
        <w:fldChar w:fldCharType="end"/>
      </w:r>
    </w:p>
    <w:p w14:paraId="1E564822" w14:textId="5570D3F8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Schedule of Specific Prices and Not-To-Exceed Prices (CORE)</w:t>
      </w:r>
      <w:r>
        <w:tab/>
      </w:r>
      <w:r>
        <w:fldChar w:fldCharType="begin"/>
      </w:r>
      <w:r>
        <w:instrText xml:space="preserve"> PAGEREF _Toc175039456 \h </w:instrText>
      </w:r>
      <w:r>
        <w:fldChar w:fldCharType="separate"/>
      </w:r>
      <w:r>
        <w:t>5</w:t>
      </w:r>
      <w:r>
        <w:fldChar w:fldCharType="end"/>
      </w:r>
    </w:p>
    <w:p w14:paraId="6F19F39A" w14:textId="33388BA0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Schedule of Rates (CORE)</w:t>
      </w:r>
      <w:r>
        <w:tab/>
      </w:r>
      <w:r>
        <w:fldChar w:fldCharType="begin"/>
      </w:r>
      <w:r>
        <w:instrText xml:space="preserve"> PAGEREF _Toc175039457 \h </w:instrText>
      </w:r>
      <w:r>
        <w:fldChar w:fldCharType="separate"/>
      </w:r>
      <w:r>
        <w:t>5</w:t>
      </w:r>
      <w:r>
        <w:fldChar w:fldCharType="end"/>
      </w:r>
    </w:p>
    <w:p w14:paraId="51A33E13" w14:textId="0905D538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Australian Contract Expenditure (CORE)</w:t>
      </w:r>
      <w:r>
        <w:tab/>
      </w:r>
      <w:r>
        <w:fldChar w:fldCharType="begin"/>
      </w:r>
      <w:r>
        <w:instrText xml:space="preserve"> PAGEREF _Toc175039458 \h </w:instrText>
      </w:r>
      <w:r>
        <w:fldChar w:fldCharType="separate"/>
      </w:r>
      <w:r>
        <w:t>5</w:t>
      </w:r>
      <w:r>
        <w:fldChar w:fldCharType="end"/>
      </w:r>
    </w:p>
    <w:p w14:paraId="7E9144BA" w14:textId="34DF65D1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Schedule of Further Quantities and Optional Extras (OPTIONAL)</w:t>
      </w:r>
      <w:r>
        <w:tab/>
      </w:r>
      <w:r>
        <w:fldChar w:fldCharType="begin"/>
      </w:r>
      <w:r>
        <w:instrText xml:space="preserve"> PAGEREF _Toc175039459 \h </w:instrText>
      </w:r>
      <w:r>
        <w:fldChar w:fldCharType="separate"/>
      </w:r>
      <w:r>
        <w:t>7</w:t>
      </w:r>
      <w:r>
        <w:fldChar w:fldCharType="end"/>
      </w:r>
    </w:p>
    <w:p w14:paraId="26068E01" w14:textId="32FEFC1A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9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Cost Reimbursement (OPTIONAL)</w:t>
      </w:r>
      <w:r>
        <w:tab/>
      </w:r>
      <w:r>
        <w:fldChar w:fldCharType="begin"/>
      </w:r>
      <w:r>
        <w:instrText xml:space="preserve"> PAGEREF _Toc175039460 \h </w:instrText>
      </w:r>
      <w:r>
        <w:fldChar w:fldCharType="separate"/>
      </w:r>
      <w:r>
        <w:t>7</w:t>
      </w:r>
      <w:r>
        <w:fldChar w:fldCharType="end"/>
      </w:r>
    </w:p>
    <w:p w14:paraId="64828EB5" w14:textId="7FA4AB5E" w:rsidR="00006AF2" w:rsidRDefault="00006AF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10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Incentive Payments (OPTIONAL)</w:t>
      </w:r>
      <w:r>
        <w:tab/>
      </w:r>
      <w:r>
        <w:fldChar w:fldCharType="begin"/>
      </w:r>
      <w:r>
        <w:instrText xml:space="preserve"> PAGEREF _Toc175039461 \h </w:instrText>
      </w:r>
      <w:r>
        <w:fldChar w:fldCharType="separate"/>
      </w:r>
      <w:r>
        <w:t>7</w:t>
      </w:r>
      <w:r>
        <w:fldChar w:fldCharType="end"/>
      </w:r>
    </w:p>
    <w:p w14:paraId="6F644D87" w14:textId="759ED80B" w:rsidR="005C5F98" w:rsidRDefault="00030639" w:rsidP="000F2B0C">
      <w:pPr>
        <w:pStyle w:val="ASDEFCONOptionSpace"/>
        <w:rPr>
          <w:noProof/>
        </w:rPr>
      </w:pPr>
      <w:r>
        <w:rPr>
          <w:rFonts w:cs="Arial"/>
          <w:b/>
          <w:noProof/>
          <w:color w:val="auto"/>
          <w:szCs w:val="24"/>
        </w:rPr>
        <w:fldChar w:fldCharType="end"/>
      </w:r>
    </w:p>
    <w:p w14:paraId="640F6890" w14:textId="02D155A3" w:rsidR="00083F9C" w:rsidRDefault="00083F9C" w:rsidP="00083F9C">
      <w:pPr>
        <w:pStyle w:val="NoteToDrafters-ASDEFCON"/>
        <w:rPr>
          <w:noProof/>
        </w:rPr>
      </w:pPr>
      <w:r>
        <w:rPr>
          <w:noProof/>
        </w:rPr>
        <w:t xml:space="preserve">Note to drafters: </w:t>
      </w:r>
      <w:r w:rsidR="00F64EB3">
        <w:rPr>
          <w:noProof/>
        </w:rPr>
        <w:t xml:space="preserve"> </w:t>
      </w:r>
      <w:r w:rsidR="00277C77">
        <w:rPr>
          <w:noProof/>
        </w:rPr>
        <w:t xml:space="preserve">Some </w:t>
      </w:r>
      <w:r>
        <w:rPr>
          <w:noProof/>
        </w:rPr>
        <w:t>Annex</w:t>
      </w:r>
      <w:r w:rsidR="00277C77">
        <w:rPr>
          <w:noProof/>
        </w:rPr>
        <w:t>es</w:t>
      </w:r>
      <w:r>
        <w:rPr>
          <w:noProof/>
        </w:rPr>
        <w:t xml:space="preserve"> </w:t>
      </w:r>
      <w:r w:rsidR="00277C77">
        <w:rPr>
          <w:noProof/>
        </w:rPr>
        <w:t>will</w:t>
      </w:r>
      <w:r>
        <w:rPr>
          <w:noProof/>
        </w:rPr>
        <w:t xml:space="preserve"> include a file with the appropriate pricing table, such as a PDF copy of a spreadsheet from the </w:t>
      </w:r>
      <w:r w:rsidR="00CC67BB">
        <w:rPr>
          <w:noProof/>
        </w:rPr>
        <w:t>‘</w:t>
      </w:r>
      <w:r w:rsidR="004D4308">
        <w:rPr>
          <w:noProof/>
        </w:rPr>
        <w:t>Acquisition</w:t>
      </w:r>
      <w:r w:rsidR="00161F8B">
        <w:rPr>
          <w:noProof/>
        </w:rPr>
        <w:t xml:space="preserve"> Pricing Workbook</w:t>
      </w:r>
      <w:r w:rsidR="00CC67BB">
        <w:rPr>
          <w:noProof/>
        </w:rPr>
        <w:t>’</w:t>
      </w:r>
      <w:r w:rsidR="00161F8B">
        <w:rPr>
          <w:noProof/>
        </w:rPr>
        <w:t xml:space="preserve"> (</w:t>
      </w:r>
      <w:r w:rsidR="004D4308">
        <w:rPr>
          <w:noProof/>
        </w:rPr>
        <w:t>ACQ</w:t>
      </w:r>
      <w:r w:rsidR="00161F8B">
        <w:rPr>
          <w:noProof/>
        </w:rPr>
        <w:t>PW)</w:t>
      </w:r>
      <w:r>
        <w:rPr>
          <w:noProof/>
        </w:rPr>
        <w:t>.  Update the following table for the Annexes to be included in the Contract.</w:t>
      </w:r>
      <w:r w:rsidR="00737A88">
        <w:rPr>
          <w:noProof/>
        </w:rPr>
        <w:t xml:space="preserve">  File names may be added when known</w:t>
      </w:r>
      <w:r w:rsidR="00597EEA">
        <w:rPr>
          <w:noProof/>
        </w:rPr>
        <w:t>, the examples below are based on the tabs in the workbook</w:t>
      </w:r>
      <w:r w:rsidR="00737A88">
        <w:rPr>
          <w:noProof/>
        </w:rPr>
        <w:t>.</w:t>
      </w:r>
    </w:p>
    <w:p w14:paraId="37F60969" w14:textId="6415CD62" w:rsidR="00CC122E" w:rsidRDefault="00CC122E" w:rsidP="00FC4375">
      <w:pPr>
        <w:pStyle w:val="ASDEFCONOptionSpace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845"/>
        <w:gridCol w:w="4389"/>
      </w:tblGrid>
      <w:tr w:rsidR="005C5F98" w14:paraId="0B0AC56E" w14:textId="77777777" w:rsidTr="00AE1128">
        <w:tc>
          <w:tcPr>
            <w:tcW w:w="828" w:type="dxa"/>
            <w:shd w:val="pct10" w:color="auto" w:fill="auto"/>
          </w:tcPr>
          <w:p w14:paraId="32F8BA07" w14:textId="3610D9F3" w:rsidR="005C5F98" w:rsidRDefault="005C5F98" w:rsidP="005C5F98">
            <w:pPr>
              <w:pStyle w:val="Table10ptHeading-ASDEFCON"/>
            </w:pPr>
            <w:r>
              <w:t>Annex</w:t>
            </w:r>
          </w:p>
        </w:tc>
        <w:tc>
          <w:tcPr>
            <w:tcW w:w="3845" w:type="dxa"/>
            <w:shd w:val="pct10" w:color="auto" w:fill="auto"/>
          </w:tcPr>
          <w:p w14:paraId="0B0575EA" w14:textId="5399E162" w:rsidR="005C5F98" w:rsidRDefault="005C5F98" w:rsidP="005C5F98">
            <w:pPr>
              <w:pStyle w:val="Table10ptHeading-ASDEFCON"/>
            </w:pPr>
            <w:r>
              <w:t>Title</w:t>
            </w:r>
          </w:p>
        </w:tc>
        <w:tc>
          <w:tcPr>
            <w:tcW w:w="4389" w:type="dxa"/>
            <w:shd w:val="pct10" w:color="auto" w:fill="auto"/>
          </w:tcPr>
          <w:p w14:paraId="6B893D8A" w14:textId="27BBEC1E" w:rsidR="005C5F98" w:rsidRDefault="005C5F98" w:rsidP="005C5F98">
            <w:pPr>
              <w:pStyle w:val="Table10ptHeading-ASDEFCON"/>
            </w:pPr>
            <w:r>
              <w:t>File Name</w:t>
            </w:r>
            <w:r w:rsidR="00D476E9">
              <w:t>s</w:t>
            </w:r>
          </w:p>
        </w:tc>
      </w:tr>
      <w:tr w:rsidR="005C5F98" w14:paraId="7668A4B7" w14:textId="77777777" w:rsidTr="00AE1128">
        <w:tc>
          <w:tcPr>
            <w:tcW w:w="828" w:type="dxa"/>
          </w:tcPr>
          <w:p w14:paraId="3744CED3" w14:textId="33FF2183" w:rsidR="005C5F98" w:rsidRDefault="005C5F98" w:rsidP="00083F9C">
            <w:pPr>
              <w:pStyle w:val="Table10ptText-ASDEFCON"/>
              <w:jc w:val="center"/>
            </w:pPr>
            <w:r>
              <w:t>A</w:t>
            </w:r>
          </w:p>
        </w:tc>
        <w:tc>
          <w:tcPr>
            <w:tcW w:w="3845" w:type="dxa"/>
          </w:tcPr>
          <w:p w14:paraId="65BF4187" w14:textId="175D75AD" w:rsidR="005C5F98" w:rsidRDefault="00274AF8" w:rsidP="005C5F98">
            <w:pPr>
              <w:pStyle w:val="Table10ptText-ASDEFCON"/>
            </w:pPr>
            <w:r>
              <w:t>Price</w:t>
            </w:r>
            <w:r w:rsidR="005C5F98">
              <w:t xml:space="preserve"> Schedule</w:t>
            </w:r>
            <w:r>
              <w:t xml:space="preserve"> (Core)</w:t>
            </w:r>
          </w:p>
        </w:tc>
        <w:tc>
          <w:tcPr>
            <w:tcW w:w="4389" w:type="dxa"/>
          </w:tcPr>
          <w:p w14:paraId="7541BFD1" w14:textId="5032F08D" w:rsidR="005C5F98" w:rsidRPr="00FC4375" w:rsidRDefault="00597EEA" w:rsidP="005C5F98">
            <w:pPr>
              <w:pStyle w:val="Table10ptText-ASDEFCON"/>
              <w:rPr>
                <w:i/>
              </w:rPr>
            </w:pPr>
            <w:r w:rsidRPr="00FC4375">
              <w:rPr>
                <w:i/>
              </w:rPr>
              <w:t>Pric</w:t>
            </w:r>
            <w:r w:rsidR="005C332E">
              <w:rPr>
                <w:i/>
              </w:rPr>
              <w:t>e</w:t>
            </w:r>
            <w:r w:rsidRPr="00FC4375">
              <w:rPr>
                <w:i/>
              </w:rPr>
              <w:t xml:space="preserve"> Schedule</w:t>
            </w:r>
          </w:p>
        </w:tc>
      </w:tr>
      <w:tr w:rsidR="005C5F98" w14:paraId="7BFEA1B7" w14:textId="77777777" w:rsidTr="00AE1128">
        <w:tc>
          <w:tcPr>
            <w:tcW w:w="828" w:type="dxa"/>
          </w:tcPr>
          <w:p w14:paraId="278400FC" w14:textId="645C0861" w:rsidR="005C5F98" w:rsidRDefault="005C5F98" w:rsidP="00083F9C">
            <w:pPr>
              <w:pStyle w:val="Table10ptText-ASDEFCON"/>
              <w:jc w:val="center"/>
            </w:pPr>
            <w:r>
              <w:t>B</w:t>
            </w:r>
          </w:p>
        </w:tc>
        <w:tc>
          <w:tcPr>
            <w:tcW w:w="3845" w:type="dxa"/>
          </w:tcPr>
          <w:p w14:paraId="0E268ACF" w14:textId="514DE62F" w:rsidR="005C5F98" w:rsidRDefault="005C5F98" w:rsidP="005C5F98">
            <w:pPr>
              <w:pStyle w:val="Table10ptText-ASDEFCON"/>
            </w:pPr>
            <w:r w:rsidRPr="00D95915">
              <w:t>Schedule</w:t>
            </w:r>
            <w:r w:rsidRPr="002A29EA">
              <w:t xml:space="preserve"> of Payments</w:t>
            </w:r>
            <w:r w:rsidR="00737A88">
              <w:t xml:space="preserve"> (Core)</w:t>
            </w:r>
          </w:p>
        </w:tc>
        <w:tc>
          <w:tcPr>
            <w:tcW w:w="4389" w:type="dxa"/>
          </w:tcPr>
          <w:p w14:paraId="77A7D0B5" w14:textId="757CD571" w:rsidR="005C5F98" w:rsidRPr="00FC4375" w:rsidRDefault="00597EEA" w:rsidP="005C5F98">
            <w:pPr>
              <w:pStyle w:val="Table10ptText-ASDEFCON"/>
              <w:rPr>
                <w:i/>
              </w:rPr>
            </w:pPr>
            <w:r w:rsidRPr="00BC691C">
              <w:rPr>
                <w:i/>
              </w:rPr>
              <w:t xml:space="preserve">Milestone </w:t>
            </w:r>
            <w:r w:rsidRPr="00D277F5">
              <w:rPr>
                <w:i/>
              </w:rPr>
              <w:t xml:space="preserve">Payment </w:t>
            </w:r>
            <w:r w:rsidRPr="00597EEA">
              <w:rPr>
                <w:i/>
              </w:rPr>
              <w:t>Schedule</w:t>
            </w:r>
          </w:p>
        </w:tc>
      </w:tr>
      <w:tr w:rsidR="005C5F98" w14:paraId="4B634AA6" w14:textId="77777777" w:rsidTr="00AE1128">
        <w:tc>
          <w:tcPr>
            <w:tcW w:w="828" w:type="dxa"/>
          </w:tcPr>
          <w:p w14:paraId="728EF452" w14:textId="5A19FE89" w:rsidR="005C5F98" w:rsidRDefault="005C5F98" w:rsidP="00083F9C">
            <w:pPr>
              <w:pStyle w:val="Table10ptText-ASDEFCON"/>
              <w:jc w:val="center"/>
            </w:pPr>
            <w:r>
              <w:t>C</w:t>
            </w:r>
          </w:p>
        </w:tc>
        <w:tc>
          <w:tcPr>
            <w:tcW w:w="3845" w:type="dxa"/>
          </w:tcPr>
          <w:p w14:paraId="713FDDF4" w14:textId="1988AF0D" w:rsidR="005C5F98" w:rsidRDefault="005C5F98" w:rsidP="005C5F98">
            <w:pPr>
              <w:pStyle w:val="Table10ptText-ASDEFCON"/>
            </w:pPr>
            <w:r>
              <w:t>Adjustments</w:t>
            </w:r>
            <w:r w:rsidR="00737A88">
              <w:t xml:space="preserve"> (Core)</w:t>
            </w:r>
          </w:p>
        </w:tc>
        <w:tc>
          <w:tcPr>
            <w:tcW w:w="4389" w:type="dxa"/>
          </w:tcPr>
          <w:p w14:paraId="3A32D6B2" w14:textId="6C92C651" w:rsidR="005C5F98" w:rsidRPr="00FC4375" w:rsidRDefault="00597EEA" w:rsidP="000812FD">
            <w:pPr>
              <w:pStyle w:val="Table10ptText-ASDEFCON"/>
              <w:rPr>
                <w:i/>
              </w:rPr>
            </w:pPr>
            <w:r>
              <w:rPr>
                <w:i/>
              </w:rPr>
              <w:t>Adjustments</w:t>
            </w:r>
          </w:p>
        </w:tc>
      </w:tr>
      <w:tr w:rsidR="005C5F98" w14:paraId="25141F46" w14:textId="77777777" w:rsidTr="00AE1128">
        <w:tc>
          <w:tcPr>
            <w:tcW w:w="828" w:type="dxa"/>
          </w:tcPr>
          <w:p w14:paraId="3B338FEE" w14:textId="75764DE7" w:rsidR="005C5F98" w:rsidRDefault="005C5F98" w:rsidP="00083F9C">
            <w:pPr>
              <w:pStyle w:val="Table10ptText-ASDEFCON"/>
              <w:jc w:val="center"/>
            </w:pPr>
            <w:r>
              <w:t>D</w:t>
            </w:r>
          </w:p>
        </w:tc>
        <w:tc>
          <w:tcPr>
            <w:tcW w:w="3845" w:type="dxa"/>
          </w:tcPr>
          <w:p w14:paraId="44257E32" w14:textId="04F7FAB0" w:rsidR="005C5F98" w:rsidRDefault="00AA4873" w:rsidP="001B27D7">
            <w:pPr>
              <w:pStyle w:val="Table10ptText-ASDEFCON"/>
            </w:pPr>
            <w:r w:rsidRPr="00D95915">
              <w:t xml:space="preserve">Schedule of </w:t>
            </w:r>
            <w:r w:rsidR="001B27D7">
              <w:t>Specific Prices</w:t>
            </w:r>
            <w:r w:rsidR="001B27D7" w:rsidRPr="00D95915">
              <w:t xml:space="preserve"> </w:t>
            </w:r>
            <w:r w:rsidRPr="00D95915">
              <w:t>and Not-To-Exceed Prices</w:t>
            </w:r>
            <w:r>
              <w:t xml:space="preserve"> (Core)</w:t>
            </w:r>
          </w:p>
        </w:tc>
        <w:tc>
          <w:tcPr>
            <w:tcW w:w="4389" w:type="dxa"/>
          </w:tcPr>
          <w:p w14:paraId="6D670ABE" w14:textId="7E79AC29" w:rsidR="005C5F98" w:rsidRPr="00FC4375" w:rsidRDefault="00597EEA" w:rsidP="005C5F98">
            <w:pPr>
              <w:pStyle w:val="Table10ptText-ASDEFCON"/>
              <w:rPr>
                <w:i/>
              </w:rPr>
            </w:pPr>
            <w:r w:rsidRPr="00FC4375">
              <w:rPr>
                <w:i/>
              </w:rPr>
              <w:t>Specific P</w:t>
            </w:r>
            <w:r w:rsidRPr="00BC691C">
              <w:rPr>
                <w:i/>
              </w:rPr>
              <w:t xml:space="preserve">rices and </w:t>
            </w:r>
            <w:r>
              <w:rPr>
                <w:i/>
              </w:rPr>
              <w:t>Not-To-Exceed Prices</w:t>
            </w:r>
            <w:r w:rsidRPr="00FC4375">
              <w:rPr>
                <w:i/>
              </w:rPr>
              <w:t xml:space="preserve"> </w:t>
            </w:r>
          </w:p>
        </w:tc>
      </w:tr>
      <w:tr w:rsidR="005C5F98" w14:paraId="5A2C9D40" w14:textId="77777777" w:rsidTr="00AE1128">
        <w:tc>
          <w:tcPr>
            <w:tcW w:w="828" w:type="dxa"/>
          </w:tcPr>
          <w:p w14:paraId="10008AD6" w14:textId="6A7C838E" w:rsidR="005C5F98" w:rsidRDefault="005C5F98" w:rsidP="00083F9C">
            <w:pPr>
              <w:pStyle w:val="Table10ptText-ASDEFCON"/>
              <w:jc w:val="center"/>
            </w:pPr>
            <w:r>
              <w:t>E</w:t>
            </w:r>
          </w:p>
        </w:tc>
        <w:tc>
          <w:tcPr>
            <w:tcW w:w="3845" w:type="dxa"/>
          </w:tcPr>
          <w:p w14:paraId="7FDAF560" w14:textId="4705A74E" w:rsidR="005C5F98" w:rsidRDefault="00AA4873" w:rsidP="005C5F98">
            <w:pPr>
              <w:pStyle w:val="Table10ptText-ASDEFCON"/>
            </w:pPr>
            <w:r w:rsidRPr="00D95915">
              <w:t>Schedule of Rates</w:t>
            </w:r>
            <w:r>
              <w:t xml:space="preserve"> (Core)</w:t>
            </w:r>
          </w:p>
        </w:tc>
        <w:tc>
          <w:tcPr>
            <w:tcW w:w="4389" w:type="dxa"/>
          </w:tcPr>
          <w:p w14:paraId="00FDCCEA" w14:textId="77777777" w:rsidR="00F64EB3" w:rsidRDefault="00BC691C" w:rsidP="005C5F98">
            <w:pPr>
              <w:pStyle w:val="Table10ptText-ASDEFCON"/>
              <w:rPr>
                <w:i/>
              </w:rPr>
            </w:pPr>
            <w:r>
              <w:rPr>
                <w:i/>
              </w:rPr>
              <w:t xml:space="preserve">Schedule 1: </w:t>
            </w:r>
            <w:r w:rsidR="00597EEA" w:rsidRPr="00FC4375">
              <w:rPr>
                <w:i/>
              </w:rPr>
              <w:t>Labour Rates</w:t>
            </w:r>
            <w:r>
              <w:rPr>
                <w:i/>
              </w:rPr>
              <w:t>;</w:t>
            </w:r>
            <w:r w:rsidR="00597EEA" w:rsidRPr="00FC4375">
              <w:rPr>
                <w:i/>
              </w:rPr>
              <w:t xml:space="preserve"> and</w:t>
            </w:r>
          </w:p>
          <w:p w14:paraId="0E046894" w14:textId="304FD07B" w:rsidR="005C5F98" w:rsidRPr="00FC4375" w:rsidRDefault="00BC691C" w:rsidP="005C5F98">
            <w:pPr>
              <w:pStyle w:val="Table10ptText-ASDEFCON"/>
              <w:rPr>
                <w:i/>
              </w:rPr>
            </w:pPr>
            <w:r>
              <w:rPr>
                <w:i/>
              </w:rPr>
              <w:t xml:space="preserve">Schedule 2: </w:t>
            </w:r>
            <w:r w:rsidR="00597EEA" w:rsidRPr="00FC4375">
              <w:rPr>
                <w:i/>
              </w:rPr>
              <w:t>Schedule of Margins</w:t>
            </w:r>
          </w:p>
        </w:tc>
      </w:tr>
      <w:tr w:rsidR="00083F9C" w14:paraId="39D227AC" w14:textId="77777777" w:rsidTr="00AE1128">
        <w:tc>
          <w:tcPr>
            <w:tcW w:w="828" w:type="dxa"/>
          </w:tcPr>
          <w:p w14:paraId="197EC444" w14:textId="7E90D235" w:rsidR="00083F9C" w:rsidRDefault="006473A1" w:rsidP="00083F9C">
            <w:pPr>
              <w:pStyle w:val="Table10ptText-ASDEFCON"/>
              <w:jc w:val="center"/>
            </w:pPr>
            <w:r>
              <w:t>F</w:t>
            </w:r>
          </w:p>
        </w:tc>
        <w:tc>
          <w:tcPr>
            <w:tcW w:w="3845" w:type="dxa"/>
          </w:tcPr>
          <w:p w14:paraId="2F3C26CB" w14:textId="61C6877E" w:rsidR="00083F9C" w:rsidRDefault="00083F9C" w:rsidP="00083F9C">
            <w:pPr>
              <w:pStyle w:val="Table10ptText-ASDEFCON"/>
            </w:pPr>
            <w:r w:rsidRPr="00D95915">
              <w:t>Schedule of Further Quantities and Optional Extras</w:t>
            </w:r>
            <w:r w:rsidR="00737A88">
              <w:t xml:space="preserve"> </w:t>
            </w:r>
            <w:r w:rsidR="00737A88" w:rsidRPr="00D95915">
              <w:t>(Optional)</w:t>
            </w:r>
          </w:p>
        </w:tc>
        <w:tc>
          <w:tcPr>
            <w:tcW w:w="4389" w:type="dxa"/>
          </w:tcPr>
          <w:p w14:paraId="31A8F52A" w14:textId="2D4C9862" w:rsidR="00083F9C" w:rsidRPr="00FC4375" w:rsidRDefault="00597EEA" w:rsidP="00083F9C">
            <w:pPr>
              <w:pStyle w:val="Table10ptText-ASDEFCON"/>
              <w:rPr>
                <w:i/>
              </w:rPr>
            </w:pPr>
            <w:r w:rsidRPr="00FC4375">
              <w:rPr>
                <w:i/>
              </w:rPr>
              <w:t>Further Quantities</w:t>
            </w:r>
          </w:p>
        </w:tc>
      </w:tr>
    </w:tbl>
    <w:p w14:paraId="5AD456B4" w14:textId="1FFC365E" w:rsidR="005C5F98" w:rsidRDefault="005C5F98" w:rsidP="00FC4375">
      <w:pPr>
        <w:pStyle w:val="ASDEFCONOptionSpace"/>
      </w:pPr>
    </w:p>
    <w:bookmarkEnd w:id="0"/>
    <w:p w14:paraId="43F06314" w14:textId="3A97C359" w:rsidR="00603854" w:rsidRPr="00D95915" w:rsidRDefault="00603854" w:rsidP="003E15AB">
      <w:pPr>
        <w:pStyle w:val="ASDEFCONOptionSpace"/>
      </w:pPr>
    </w:p>
    <w:p w14:paraId="42D76B42" w14:textId="5A25DF33" w:rsidR="005E67D7" w:rsidRDefault="002959EF" w:rsidP="0084171A">
      <w:pPr>
        <w:pStyle w:val="COTCOCLV3-ASDEFCON"/>
      </w:pPr>
      <w:r>
        <w:t xml:space="preserve">For clarity, </w:t>
      </w:r>
      <w:r w:rsidR="005E67D7">
        <w:t xml:space="preserve">Attachment B includes the </w:t>
      </w:r>
      <w:r>
        <w:t xml:space="preserve">Annexes </w:t>
      </w:r>
      <w:r w:rsidR="005E67D7">
        <w:t xml:space="preserve">listed in clause </w:t>
      </w:r>
      <w:r w:rsidR="005E67D7">
        <w:fldChar w:fldCharType="begin"/>
      </w:r>
      <w:r w:rsidR="005E67D7">
        <w:instrText xml:space="preserve"> REF _Ref69279223 \r \h </w:instrText>
      </w:r>
      <w:r w:rsidR="005E67D7">
        <w:fldChar w:fldCharType="separate"/>
      </w:r>
      <w:r w:rsidR="00006AF2">
        <w:t>1.1</w:t>
      </w:r>
      <w:r w:rsidR="005E67D7">
        <w:fldChar w:fldCharType="end"/>
      </w:r>
      <w:r w:rsidR="003E26D9">
        <w:t>,</w:t>
      </w:r>
      <w:r w:rsidR="005E67D7">
        <w:t xml:space="preserve"> </w:t>
      </w:r>
      <w:r w:rsidR="003570E8">
        <w:t>including</w:t>
      </w:r>
      <w:r w:rsidR="005E67D7">
        <w:t xml:space="preserve"> </w:t>
      </w:r>
      <w:r w:rsidR="003E26D9">
        <w:t xml:space="preserve">electronic files </w:t>
      </w:r>
      <w:r>
        <w:t>(</w:t>
      </w:r>
      <w:proofErr w:type="spellStart"/>
      <w:r>
        <w:t>e</w:t>
      </w:r>
      <w:r w:rsidR="003E26D9">
        <w:t>g</w:t>
      </w:r>
      <w:proofErr w:type="spellEnd"/>
      <w:r>
        <w:t xml:space="preserve">, </w:t>
      </w:r>
      <w:r w:rsidR="003E26D9">
        <w:t xml:space="preserve">PDF </w:t>
      </w:r>
      <w:r w:rsidR="0069493F">
        <w:t>files</w:t>
      </w:r>
      <w:r w:rsidR="003E26D9">
        <w:t xml:space="preserve"> of </w:t>
      </w:r>
      <w:r w:rsidR="0069493F">
        <w:t xml:space="preserve">tables / </w:t>
      </w:r>
      <w:r>
        <w:t xml:space="preserve">spreadsheets) that are </w:t>
      </w:r>
      <w:r w:rsidR="00B90C65">
        <w:t xml:space="preserve">controlled documents and </w:t>
      </w:r>
      <w:r>
        <w:t>managed as part of the Contract.</w:t>
      </w:r>
    </w:p>
    <w:p w14:paraId="6B565F08" w14:textId="77777777" w:rsidR="00F64EB3" w:rsidRDefault="000508C8" w:rsidP="0084171A">
      <w:pPr>
        <w:pStyle w:val="COTCOCLV3-ASDEFCON"/>
      </w:pPr>
      <w:r w:rsidRPr="0051267D">
        <w:t>The obligations of the Commonwealth under this Attachment B are subject to the:</w:t>
      </w:r>
    </w:p>
    <w:p w14:paraId="251877F9" w14:textId="23AAD266" w:rsidR="000508C8" w:rsidRDefault="000508C8" w:rsidP="00D95915">
      <w:pPr>
        <w:pStyle w:val="ATTANNLV3-ASDEFCON"/>
      </w:pPr>
      <w:r w:rsidRPr="008A3CFC">
        <w:t xml:space="preserve">Contractor making a claim for payment in accordance with clause </w:t>
      </w:r>
      <w:r>
        <w:t>7.2 of the COC; and</w:t>
      </w:r>
    </w:p>
    <w:p w14:paraId="36BF56E9" w14:textId="77777777" w:rsidR="000508C8" w:rsidRDefault="000508C8" w:rsidP="000508C8">
      <w:pPr>
        <w:pStyle w:val="ATTANNLV3-ASDEFCON"/>
      </w:pPr>
      <w:proofErr w:type="gramStart"/>
      <w:r w:rsidRPr="008A3CFC">
        <w:t>other</w:t>
      </w:r>
      <w:proofErr w:type="gramEnd"/>
      <w:r w:rsidRPr="008A3CFC">
        <w:t xml:space="preserve"> provisions of </w:t>
      </w:r>
      <w:r>
        <w:t xml:space="preserve">the </w:t>
      </w:r>
      <w:r w:rsidRPr="008A3CFC">
        <w:t>Contract</w:t>
      </w:r>
      <w:r>
        <w:t>.</w:t>
      </w:r>
    </w:p>
    <w:p w14:paraId="6575FF1C" w14:textId="29FF305F" w:rsidR="000508C8" w:rsidRDefault="000508C8" w:rsidP="0084171A">
      <w:pPr>
        <w:pStyle w:val="COTCOCLV3-ASDEFCON"/>
      </w:pPr>
      <w:r w:rsidRPr="00F347EC">
        <w:t xml:space="preserve">Except where expressly indicated to the contrary, the amounts set out in </w:t>
      </w:r>
      <w:r>
        <w:t>this Attachment B</w:t>
      </w:r>
      <w:r w:rsidRPr="00F347EC">
        <w:t xml:space="preserve"> are inclusive of all costs and other payments associated with </w:t>
      </w:r>
      <w:r>
        <w:t>providing the Supplies</w:t>
      </w:r>
      <w:r w:rsidRPr="00F347EC">
        <w:t xml:space="preserve"> </w:t>
      </w:r>
      <w:r>
        <w:t xml:space="preserve">(including achieving the Milestones) </w:t>
      </w:r>
      <w:r w:rsidRPr="00C650ED">
        <w:t>and carrying out all matters and doing all things necessary for the due and proper performance and completion of the Contract</w:t>
      </w:r>
      <w:r>
        <w:t>.  This includes all l</w:t>
      </w:r>
      <w:r w:rsidRPr="00C650ED">
        <w:t>icence fees, royalty payments</w:t>
      </w:r>
      <w:r>
        <w:t>,</w:t>
      </w:r>
      <w:r w:rsidRPr="00C650ED">
        <w:t xml:space="preserve"> overseas taxes, duties and charges</w:t>
      </w:r>
      <w:r>
        <w:t>,</w:t>
      </w:r>
      <w:r w:rsidRPr="00C650ED">
        <w:t xml:space="preserve"> Australian (Federal, State and Local </w:t>
      </w:r>
      <w:r w:rsidRPr="00C650ED">
        <w:lastRenderedPageBreak/>
        <w:t xml:space="preserve">Government) taxes including GST, customs and other duties and charges </w:t>
      </w:r>
      <w:r>
        <w:t>and</w:t>
      </w:r>
      <w:r w:rsidRPr="000508C8">
        <w:t xml:space="preserve"> arranging customs clearance and services of representatives.</w:t>
      </w:r>
    </w:p>
    <w:p w14:paraId="7AC8C689" w14:textId="1198BEF4" w:rsidR="00BD5335" w:rsidRDefault="003E26D9" w:rsidP="0084171A">
      <w:pPr>
        <w:pStyle w:val="COTCOCLV3-ASDEFCON"/>
      </w:pPr>
      <w:r w:rsidRPr="002A29EA">
        <w:t>In the event of any inconsistency</w:t>
      </w:r>
      <w:r>
        <w:t>,</w:t>
      </w:r>
      <w:r w:rsidRPr="002A29EA">
        <w:t xml:space="preserve"> </w:t>
      </w:r>
      <w:r>
        <w:t>t</w:t>
      </w:r>
      <w:r w:rsidR="00BD5335" w:rsidRPr="002A29EA">
        <w:t>he dates specified in the Delivery Schedule at Attachment C shall have precedence over any dates specified in this Attachment</w:t>
      </w:r>
      <w:r w:rsidR="00EE3C46">
        <w:t xml:space="preserve"> B</w:t>
      </w:r>
      <w:r w:rsidR="00BD5335" w:rsidRPr="002A29EA">
        <w:t>.</w:t>
      </w:r>
    </w:p>
    <w:p w14:paraId="73C6D429" w14:textId="1D07B5CA" w:rsidR="00F64EB3" w:rsidRDefault="00543EF9" w:rsidP="00E23D1E">
      <w:pPr>
        <w:pStyle w:val="NoteToDrafters-ASDEFCON"/>
      </w:pPr>
      <w:r>
        <w:t xml:space="preserve">Note to drafters:  The </w:t>
      </w:r>
      <w:r w:rsidR="004D4308">
        <w:t>ACQ</w:t>
      </w:r>
      <w:r w:rsidR="00161F8B">
        <w:t>PW</w:t>
      </w:r>
      <w:r w:rsidR="00E23D1E">
        <w:t xml:space="preserve"> (in MS Excel®) provided as part of TDR D is designed to collect information suitable for the </w:t>
      </w:r>
      <w:r w:rsidR="007513B5">
        <w:t xml:space="preserve">financial assessment of tendered responses, and </w:t>
      </w:r>
      <w:r w:rsidR="00E23D1E">
        <w:t xml:space="preserve">population of </w:t>
      </w:r>
      <w:r w:rsidR="00036164">
        <w:t xml:space="preserve">the Annexes to </w:t>
      </w:r>
      <w:r w:rsidR="00E23D1E">
        <w:t>this Attachment</w:t>
      </w:r>
      <w:r w:rsidR="00277C77">
        <w:t xml:space="preserve"> </w:t>
      </w:r>
      <w:r w:rsidR="007513B5">
        <w:t>for the successful tender</w:t>
      </w:r>
      <w:r w:rsidR="00E23D1E" w:rsidRPr="00087A58">
        <w:t xml:space="preserve">. </w:t>
      </w:r>
      <w:r w:rsidR="00E23D1E">
        <w:t xml:space="preserve"> </w:t>
      </w:r>
      <w:r w:rsidR="001C09EE">
        <w:t xml:space="preserve">If the project chooses to rename the </w:t>
      </w:r>
      <w:r w:rsidR="004D4308">
        <w:t>ACQ</w:t>
      </w:r>
      <w:r w:rsidR="00161F8B">
        <w:t>PW</w:t>
      </w:r>
      <w:r w:rsidR="001C09EE">
        <w:t xml:space="preserve">, for example to reflect the name of the project, </w:t>
      </w:r>
      <w:r w:rsidR="00B90C65">
        <w:t xml:space="preserve">drafters will need to </w:t>
      </w:r>
      <w:r w:rsidR="001C09EE">
        <w:t xml:space="preserve">amend </w:t>
      </w:r>
      <w:r w:rsidR="00B90C65">
        <w:t xml:space="preserve">references in </w:t>
      </w:r>
      <w:r w:rsidR="001C09EE">
        <w:t>the following clauses</w:t>
      </w:r>
      <w:r w:rsidR="00B90C65">
        <w:t>,</w:t>
      </w:r>
      <w:r w:rsidR="001C09EE">
        <w:t xml:space="preserve"> and notes to tenderers</w:t>
      </w:r>
      <w:r w:rsidR="00B90C65">
        <w:t>,</w:t>
      </w:r>
      <w:r w:rsidR="001C09EE">
        <w:t xml:space="preserve"> accordingly.  </w:t>
      </w:r>
      <w:r w:rsidR="00E23D1E">
        <w:t>G</w:t>
      </w:r>
      <w:r w:rsidR="00E23D1E" w:rsidRPr="00087A58">
        <w:t xml:space="preserve">uidance should be included </w:t>
      </w:r>
      <w:r w:rsidR="00E23D1E">
        <w:t xml:space="preserve">in this draft Attachment or TDR D, as appropriate, </w:t>
      </w:r>
      <w:r w:rsidR="00B90C65">
        <w:t>to assist tenderers whe</w:t>
      </w:r>
      <w:r w:rsidR="00E23D1E" w:rsidRPr="00087A58">
        <w:t>n responding</w:t>
      </w:r>
      <w:r w:rsidR="00E23D1E">
        <w:t>.</w:t>
      </w:r>
    </w:p>
    <w:p w14:paraId="73E65E53" w14:textId="3A811DD0" w:rsidR="00BD5335" w:rsidRPr="002A29EA" w:rsidRDefault="00E27C9F" w:rsidP="00A72DAF">
      <w:pPr>
        <w:pStyle w:val="COTCOCLV1-ASDEFCON"/>
      </w:pPr>
      <w:bookmarkStart w:id="2" w:name="_Toc175039453"/>
      <w:r>
        <w:t>Price Schedule</w:t>
      </w:r>
      <w:r w:rsidR="00BD5335" w:rsidRPr="002A29EA">
        <w:t xml:space="preserve"> (CORE)</w:t>
      </w:r>
      <w:bookmarkEnd w:id="2"/>
    </w:p>
    <w:p w14:paraId="6E243F7A" w14:textId="011409D8" w:rsidR="00BD5335" w:rsidRDefault="0042080E" w:rsidP="00A72DAF">
      <w:pPr>
        <w:pStyle w:val="COTCOCLV2-ASDEFCON"/>
      </w:pPr>
      <w:r>
        <w:t>Pric</w:t>
      </w:r>
      <w:r w:rsidR="00DF77A1">
        <w:t>e Schedule</w:t>
      </w:r>
    </w:p>
    <w:p w14:paraId="0C21AE03" w14:textId="58135F40" w:rsidR="00FD3824" w:rsidRDefault="00FD3824" w:rsidP="00A72DAF">
      <w:pPr>
        <w:pStyle w:val="COTCOCLV3-ASDEFCON"/>
      </w:pPr>
      <w:r>
        <w:t xml:space="preserve">The Price Schedule details </w:t>
      </w:r>
      <w:r w:rsidR="00AD2ECA">
        <w:t>an</w:t>
      </w:r>
      <w:r>
        <w:t xml:space="preserve"> indentured Co</w:t>
      </w:r>
      <w:r w:rsidR="00BD72CA">
        <w:t>ntract</w:t>
      </w:r>
      <w:r>
        <w:t xml:space="preserve"> Work Breakdown Structure </w:t>
      </w:r>
      <w:r w:rsidR="002C6E9D">
        <w:t xml:space="preserve">(CWBS) </w:t>
      </w:r>
      <w:r w:rsidR="00B90C65">
        <w:t xml:space="preserve">of prices </w:t>
      </w:r>
      <w:r>
        <w:t>for the Contract.</w:t>
      </w:r>
    </w:p>
    <w:p w14:paraId="7B4D97B4" w14:textId="54AADEED" w:rsidR="00E4765A" w:rsidRPr="002A29EA" w:rsidRDefault="00E4765A" w:rsidP="00E4765A">
      <w:pPr>
        <w:pStyle w:val="NoteToDrafters-ASDEFCON"/>
      </w:pPr>
      <w:r w:rsidRPr="002A29EA">
        <w:t>Note to drafters:  Prior to RFT release</w:t>
      </w:r>
      <w:r w:rsidR="00A327FA">
        <w:t>,</w:t>
      </w:r>
      <w:r w:rsidRPr="002A29EA">
        <w:t xml:space="preserve"> drafters </w:t>
      </w:r>
      <w:r>
        <w:t xml:space="preserve">need </w:t>
      </w:r>
      <w:r w:rsidR="00530246">
        <w:t xml:space="preserve">to </w:t>
      </w:r>
      <w:r w:rsidR="00A327FA">
        <w:t>provide</w:t>
      </w:r>
      <w:r w:rsidR="00B90C65">
        <w:t xml:space="preserve"> </w:t>
      </w:r>
      <w:r w:rsidR="002C6E9D">
        <w:t xml:space="preserve">high-level CWBS details </w:t>
      </w:r>
      <w:r w:rsidR="00530246">
        <w:t>to enable tenderers to complete the ‘Price Schedule’ in</w:t>
      </w:r>
      <w:r>
        <w:t xml:space="preserve"> the </w:t>
      </w:r>
      <w:r w:rsidR="004D4308">
        <w:t>ACQ</w:t>
      </w:r>
      <w:r w:rsidR="00161F8B">
        <w:t>PW</w:t>
      </w:r>
      <w:r w:rsidRPr="002A29EA">
        <w:t>.</w:t>
      </w:r>
      <w:r>
        <w:t xml:space="preserve">  Refer to TDR D-</w:t>
      </w:r>
      <w:r w:rsidR="002C6E9D">
        <w:t>2</w:t>
      </w:r>
      <w:r>
        <w:t xml:space="preserve"> for </w:t>
      </w:r>
      <w:r w:rsidR="002C6E9D">
        <w:t xml:space="preserve">further </w:t>
      </w:r>
      <w:r>
        <w:t>details.</w:t>
      </w:r>
    </w:p>
    <w:p w14:paraId="5E397BB2" w14:textId="7A8A23A5" w:rsidR="00036164" w:rsidRPr="002A29EA" w:rsidRDefault="00036164" w:rsidP="00036164">
      <w:pPr>
        <w:pStyle w:val="NoteToTenderers-ASDEFCON"/>
      </w:pPr>
      <w:r w:rsidRPr="002A29EA">
        <w:t xml:space="preserve">Note to tenderers:  Annex A will consist of an amalgamation of the </w:t>
      </w:r>
      <w:r w:rsidR="004D4308">
        <w:t>ACQ</w:t>
      </w:r>
      <w:r w:rsidR="00161F8B">
        <w:t>PW</w:t>
      </w:r>
      <w:r>
        <w:t xml:space="preserve"> ‘Pric</w:t>
      </w:r>
      <w:r w:rsidR="00121F0C">
        <w:t>e</w:t>
      </w:r>
      <w:r>
        <w:t xml:space="preserve"> Schedule’ </w:t>
      </w:r>
      <w:r w:rsidR="00161F8B">
        <w:t>worksheet</w:t>
      </w:r>
      <w:r>
        <w:t xml:space="preserve"> for </w:t>
      </w:r>
      <w:r w:rsidRPr="002A29EA">
        <w:t>the successful tenderer’s response</w:t>
      </w:r>
      <w:r w:rsidR="00E4765A" w:rsidRPr="00E4765A">
        <w:t xml:space="preserve"> </w:t>
      </w:r>
      <w:r w:rsidR="00E4765A">
        <w:t xml:space="preserve">to </w:t>
      </w:r>
      <w:r w:rsidR="00E4765A" w:rsidRPr="002A29EA">
        <w:t>TDR D-2</w:t>
      </w:r>
      <w:r>
        <w:t xml:space="preserve">, </w:t>
      </w:r>
      <w:r w:rsidRPr="0066273A">
        <w:t>and any negotiated adjustments</w:t>
      </w:r>
      <w:r w:rsidRPr="002A29EA">
        <w:t>.</w:t>
      </w:r>
    </w:p>
    <w:p w14:paraId="679C5D82" w14:textId="1DDB9F94" w:rsidR="0042080E" w:rsidRDefault="004F7066" w:rsidP="00A72DAF">
      <w:pPr>
        <w:pStyle w:val="COTCOCLV3-ASDEFCON"/>
      </w:pPr>
      <w:r>
        <w:t xml:space="preserve">The Price Schedule </w:t>
      </w:r>
      <w:r w:rsidR="00121B0A">
        <w:t xml:space="preserve">is detailed in the </w:t>
      </w:r>
      <w:r w:rsidR="006B28C8">
        <w:t xml:space="preserve">file: </w:t>
      </w:r>
      <w:r w:rsidR="00121F0C">
        <w:rPr>
          <w:b/>
        </w:rPr>
        <w:fldChar w:fldCharType="begin">
          <w:ffData>
            <w:name w:val="Text9"/>
            <w:enabled/>
            <w:calcOnExit w:val="0"/>
            <w:textInput>
              <w:default w:val="(…INSERT the file name for the 'Price Schedule' tab from the workbook…)"/>
            </w:textInput>
          </w:ffData>
        </w:fldChar>
      </w:r>
      <w:bookmarkStart w:id="3" w:name="Text9"/>
      <w:r w:rsidR="00121F0C">
        <w:rPr>
          <w:b/>
        </w:rPr>
        <w:instrText xml:space="preserve"> FORMTEXT </w:instrText>
      </w:r>
      <w:r w:rsidR="00121F0C">
        <w:rPr>
          <w:b/>
        </w:rPr>
      </w:r>
      <w:r w:rsidR="00121F0C">
        <w:rPr>
          <w:b/>
        </w:rPr>
        <w:fldChar w:fldCharType="separate"/>
      </w:r>
      <w:r w:rsidR="00006AF2">
        <w:rPr>
          <w:b/>
          <w:noProof/>
        </w:rPr>
        <w:t>(…INSERT the file name for the 'Price Schedule' tab from the workbook…)</w:t>
      </w:r>
      <w:r w:rsidR="00121F0C">
        <w:rPr>
          <w:b/>
        </w:rPr>
        <w:fldChar w:fldCharType="end"/>
      </w:r>
      <w:bookmarkEnd w:id="3"/>
      <w:r w:rsidR="006B28C8">
        <w:t>,</w:t>
      </w:r>
      <w:r w:rsidR="00E23D1E">
        <w:t xml:space="preserve"> a</w:t>
      </w:r>
      <w:r w:rsidR="00FD3824">
        <w:t>nd forms</w:t>
      </w:r>
      <w:r w:rsidR="00E23D1E">
        <w:t xml:space="preserve"> Annex A to this Attachment</w:t>
      </w:r>
      <w:r w:rsidR="00121B0A">
        <w:t>.</w:t>
      </w:r>
    </w:p>
    <w:p w14:paraId="3168F89B" w14:textId="24AF8CEB" w:rsidR="0084171A" w:rsidRPr="002A29EA" w:rsidRDefault="0084171A" w:rsidP="0084171A">
      <w:pPr>
        <w:pStyle w:val="COTCOCLV1-ASDEFCON"/>
      </w:pPr>
      <w:bookmarkStart w:id="4" w:name="_Toc175039454"/>
      <w:r>
        <w:t>Schedule of Payments</w:t>
      </w:r>
      <w:r w:rsidRPr="002A29EA">
        <w:t xml:space="preserve"> (CORE)</w:t>
      </w:r>
      <w:bookmarkEnd w:id="4"/>
    </w:p>
    <w:p w14:paraId="04B2C2E6" w14:textId="77777777" w:rsidR="0084171A" w:rsidRPr="00567D53" w:rsidRDefault="0084171A" w:rsidP="0084171A">
      <w:pPr>
        <w:pStyle w:val="COTCOCLV2-ASDEFCON"/>
      </w:pPr>
      <w:bookmarkStart w:id="5" w:name="_Toc74308010"/>
      <w:bookmarkEnd w:id="5"/>
      <w:r>
        <w:t>Introduction</w:t>
      </w:r>
    </w:p>
    <w:p w14:paraId="58EB9D16" w14:textId="5B4B2C93" w:rsidR="0084171A" w:rsidRPr="008A3CFC" w:rsidRDefault="0084171A" w:rsidP="0084171A">
      <w:pPr>
        <w:pStyle w:val="COTCOCLV3-ASDEFCON"/>
      </w:pPr>
      <w:r w:rsidRPr="008A3CFC">
        <w:t>Th</w:t>
      </w:r>
      <w:r w:rsidR="00572708">
        <w:t>e</w:t>
      </w:r>
      <w:r w:rsidRPr="008A3CFC">
        <w:t xml:space="preserve"> </w:t>
      </w:r>
      <w:r w:rsidR="00473B6E">
        <w:t>Schedule of Payments</w:t>
      </w:r>
      <w:r w:rsidR="00572708">
        <w:t xml:space="preserve"> </w:t>
      </w:r>
      <w:r w:rsidRPr="008A3CFC">
        <w:t xml:space="preserve">describes the </w:t>
      </w:r>
      <w:r>
        <w:t xml:space="preserve">amounts </w:t>
      </w:r>
      <w:r w:rsidRPr="008A3CFC">
        <w:t xml:space="preserve">payable </w:t>
      </w:r>
      <w:r>
        <w:t xml:space="preserve">by the Commonwealth </w:t>
      </w:r>
      <w:r w:rsidRPr="008A3CFC">
        <w:t xml:space="preserve">to the Contractor </w:t>
      </w:r>
      <w:r>
        <w:t xml:space="preserve">for </w:t>
      </w:r>
      <w:r w:rsidRPr="008A3CFC">
        <w:t xml:space="preserve">the </w:t>
      </w:r>
      <w:r>
        <w:t>achievement of Milestones</w:t>
      </w:r>
      <w:r w:rsidRPr="00EA3CAC">
        <w:t xml:space="preserve"> </w:t>
      </w:r>
      <w:r w:rsidRPr="00121F0C">
        <w:rPr>
          <w:b/>
        </w:rPr>
        <w:fldChar w:fldCharType="begin">
          <w:ffData>
            <w:name w:val=""/>
            <w:enabled/>
            <w:calcOnExit w:val="0"/>
            <w:textInput>
              <w:default w:val="(INSERT THE FOLLOWING WHERE A MOBILISATION PAYMENT HAS BEEN AGREED, “and as a Mobilisation Payment”)"/>
            </w:textInput>
          </w:ffData>
        </w:fldChar>
      </w:r>
      <w:r w:rsidRPr="00AA61A4">
        <w:rPr>
          <w:b/>
        </w:rPr>
        <w:instrText xml:space="preserve"> FORMTEXT </w:instrText>
      </w:r>
      <w:r w:rsidRPr="00121F0C">
        <w:rPr>
          <w:b/>
        </w:rPr>
      </w:r>
      <w:r w:rsidRPr="00121F0C">
        <w:rPr>
          <w:b/>
        </w:rPr>
        <w:fldChar w:fldCharType="separate"/>
      </w:r>
      <w:r w:rsidR="00006AF2">
        <w:rPr>
          <w:b/>
          <w:noProof/>
        </w:rPr>
        <w:t>(INSERT THE FOLLOWING WHERE A MOBILISATION PAYMENT HAS BEEN AGREED, “and as a Mobilisation Payment”)</w:t>
      </w:r>
      <w:r w:rsidRPr="00121F0C">
        <w:rPr>
          <w:b/>
        </w:rPr>
        <w:fldChar w:fldCharType="end"/>
      </w:r>
      <w:r>
        <w:t xml:space="preserve">  in accordance with the </w:t>
      </w:r>
      <w:r w:rsidRPr="008A3CFC">
        <w:t>Contract.</w:t>
      </w:r>
    </w:p>
    <w:p w14:paraId="61F64349" w14:textId="77777777" w:rsidR="0084171A" w:rsidRPr="0066273A" w:rsidRDefault="0084171A" w:rsidP="0084171A">
      <w:pPr>
        <w:pStyle w:val="COTCOCLV2-ASDEFCON"/>
      </w:pPr>
      <w:r w:rsidRPr="0066273A">
        <w:t>Mobilisation Payment (</w:t>
      </w:r>
      <w:r>
        <w:t>RFT CORE</w:t>
      </w:r>
      <w:r w:rsidRPr="0066273A">
        <w:t>)</w:t>
      </w:r>
    </w:p>
    <w:p w14:paraId="24464B4D" w14:textId="77777777" w:rsidR="00F64EB3" w:rsidRDefault="00473B6E" w:rsidP="00473B6E">
      <w:pPr>
        <w:pStyle w:val="NoteToDrafters-ASDEFCON"/>
      </w:pPr>
      <w:r>
        <w:t xml:space="preserve">Note to drafters: </w:t>
      </w:r>
      <w:r w:rsidR="006D0690">
        <w:t xml:space="preserve"> </w:t>
      </w:r>
      <w:r w:rsidRPr="002A29EA">
        <w:t xml:space="preserve">Drafters should insert a </w:t>
      </w:r>
      <w:r>
        <w:t xml:space="preserve">maximum </w:t>
      </w:r>
      <w:r w:rsidRPr="002A29EA">
        <w:t xml:space="preserve">percentage of the Contract Price against </w:t>
      </w:r>
      <w:r w:rsidRPr="0079585A">
        <w:t>the Mobilisation Payment</w:t>
      </w:r>
      <w:r>
        <w:t xml:space="preserve"> in TDR D-3.</w:t>
      </w:r>
    </w:p>
    <w:p w14:paraId="3F802FBF" w14:textId="258CA67E" w:rsidR="0084171A" w:rsidRDefault="0084171A" w:rsidP="0084171A">
      <w:pPr>
        <w:pStyle w:val="COTCOCLV3-ASDEFCON"/>
      </w:pPr>
      <w:r w:rsidRPr="0066273A">
        <w:t xml:space="preserve">The amount of the Mobilisation Payment </w:t>
      </w:r>
      <w:r>
        <w:t xml:space="preserve">is </w:t>
      </w: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(INSERT AMOUNT)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006AF2">
        <w:rPr>
          <w:b/>
          <w:noProof/>
        </w:rPr>
        <w:t>(INSERT AMOUNT)</w:t>
      </w:r>
      <w:r>
        <w:rPr>
          <w:b/>
        </w:rPr>
        <w:fldChar w:fldCharType="end"/>
      </w:r>
      <w:r>
        <w:t>.</w:t>
      </w:r>
    </w:p>
    <w:p w14:paraId="33B47F44" w14:textId="5205DBC8" w:rsidR="0084171A" w:rsidRDefault="0084171A" w:rsidP="0084171A">
      <w:pPr>
        <w:pStyle w:val="COTCOCLV3-ASDEFCON"/>
        <w:rPr>
          <w:i/>
        </w:rPr>
      </w:pPr>
      <w:r>
        <w:t>T</w:t>
      </w:r>
      <w:r w:rsidRPr="00623225">
        <w:t>he Commonwealth shall pay to the Contractor</w:t>
      </w:r>
      <w:r>
        <w:t xml:space="preserve"> the Mobilisation Payment</w:t>
      </w:r>
      <w:r w:rsidRPr="008A3CFC">
        <w:t xml:space="preserve"> </w:t>
      </w:r>
      <w:r>
        <w:t xml:space="preserve">upon </w:t>
      </w: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(INSERT CRITERIA FOR MOBILISATION PAYMENT)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006AF2">
        <w:rPr>
          <w:b/>
          <w:noProof/>
        </w:rPr>
        <w:t>(INSERT CRITERIA FOR MOBILISATION PAYMENT)</w:t>
      </w:r>
      <w:r>
        <w:rPr>
          <w:b/>
        </w:rPr>
        <w:fldChar w:fldCharType="end"/>
      </w:r>
      <w:r>
        <w:rPr>
          <w:i/>
        </w:rPr>
        <w:t>.</w:t>
      </w:r>
    </w:p>
    <w:p w14:paraId="2E83151E" w14:textId="1769F433" w:rsidR="0084171A" w:rsidRDefault="0084171A" w:rsidP="0084171A">
      <w:pPr>
        <w:pStyle w:val="COTCOCLV2-ASDEFCON"/>
      </w:pPr>
      <w:bookmarkStart w:id="6" w:name="_Ref293570223"/>
      <w:r w:rsidRPr="0066273A">
        <w:t>Milestone</w:t>
      </w:r>
      <w:bookmarkEnd w:id="6"/>
      <w:r w:rsidR="00190FAE">
        <w:t xml:space="preserve"> Payment Schedule</w:t>
      </w:r>
    </w:p>
    <w:p w14:paraId="75CDE953" w14:textId="277C2417" w:rsidR="0084171A" w:rsidRDefault="0084171A" w:rsidP="0084171A">
      <w:pPr>
        <w:pStyle w:val="COTCOCLV3-ASDEFCON"/>
      </w:pPr>
      <w:r>
        <w:t xml:space="preserve">The Milestone Payment Schedule </w:t>
      </w:r>
      <w:r w:rsidRPr="0066273A">
        <w:t>sets out the Milestones and the Milestone Payments</w:t>
      </w:r>
      <w:r>
        <w:t xml:space="preserve"> for the Contract</w:t>
      </w:r>
      <w:r w:rsidRPr="0066273A">
        <w:t>.</w:t>
      </w:r>
    </w:p>
    <w:p w14:paraId="71A4B6C1" w14:textId="7B076F50" w:rsidR="00E4765A" w:rsidRPr="002A29EA" w:rsidRDefault="00E4765A" w:rsidP="00E4765A">
      <w:pPr>
        <w:pStyle w:val="NoteToDrafters-ASDEFCON"/>
      </w:pPr>
      <w:r w:rsidRPr="002A29EA">
        <w:t xml:space="preserve">Note to drafters:  Prior to RFT release drafters </w:t>
      </w:r>
      <w:r>
        <w:t>need to</w:t>
      </w:r>
      <w:r w:rsidRPr="002A29EA">
        <w:t xml:space="preserve"> </w:t>
      </w:r>
      <w:r w:rsidR="0011332E">
        <w:t>populate</w:t>
      </w:r>
      <w:r w:rsidR="0011332E" w:rsidRPr="002A29EA">
        <w:t xml:space="preserve"> </w:t>
      </w:r>
      <w:r w:rsidRPr="002A29EA">
        <w:t>the</w:t>
      </w:r>
      <w:r>
        <w:t xml:space="preserve"> ‘Milestone Payment Schedule’ </w:t>
      </w:r>
      <w:r w:rsidR="00161F8B">
        <w:t>worksheet</w:t>
      </w:r>
      <w:r>
        <w:t xml:space="preserve"> of the </w:t>
      </w:r>
      <w:r w:rsidR="004D4308">
        <w:t>ACQ</w:t>
      </w:r>
      <w:r w:rsidR="00161F8B">
        <w:t>PW</w:t>
      </w:r>
      <w:r w:rsidRPr="002A29EA">
        <w:t>.</w:t>
      </w:r>
      <w:r>
        <w:t xml:space="preserve">  Refer to TDR D-3 for details.</w:t>
      </w:r>
    </w:p>
    <w:p w14:paraId="7BB9B903" w14:textId="066CEB93" w:rsidR="00036164" w:rsidRDefault="00036164" w:rsidP="00036164">
      <w:pPr>
        <w:pStyle w:val="NoteToTenderers-ASDEFCON"/>
      </w:pPr>
      <w:r w:rsidRPr="0066273A">
        <w:t xml:space="preserve">Note to tenderers:  </w:t>
      </w:r>
      <w:r>
        <w:t xml:space="preserve">Annex B </w:t>
      </w:r>
      <w:r w:rsidRPr="0066273A">
        <w:t xml:space="preserve">will consist of an amalgamation of the </w:t>
      </w:r>
      <w:r w:rsidR="004D4308">
        <w:t>ACQ</w:t>
      </w:r>
      <w:r w:rsidR="00161F8B">
        <w:t>PW</w:t>
      </w:r>
      <w:r>
        <w:t xml:space="preserve"> </w:t>
      </w:r>
      <w:r w:rsidR="00FE1B2E">
        <w:t>‘</w:t>
      </w:r>
      <w:r>
        <w:t>Milestone Payment Schedule</w:t>
      </w:r>
      <w:r w:rsidR="00FE1B2E">
        <w:t>’</w:t>
      </w:r>
      <w:r>
        <w:t xml:space="preserve"> </w:t>
      </w:r>
      <w:r w:rsidR="00161F8B">
        <w:t>worksheet</w:t>
      </w:r>
      <w:r w:rsidR="00FE1B2E">
        <w:t xml:space="preserve"> for</w:t>
      </w:r>
      <w:r>
        <w:t xml:space="preserve"> </w:t>
      </w:r>
      <w:r w:rsidRPr="0066273A">
        <w:t>the successful tenderer’s response</w:t>
      </w:r>
      <w:r w:rsidR="00E4765A" w:rsidRPr="00E4765A">
        <w:t xml:space="preserve"> </w:t>
      </w:r>
      <w:r w:rsidR="00E4765A">
        <w:t xml:space="preserve">to </w:t>
      </w:r>
      <w:r w:rsidR="00E4765A" w:rsidRPr="0066273A">
        <w:t xml:space="preserve">TDR </w:t>
      </w:r>
      <w:r w:rsidR="00E4765A">
        <w:t>D-3</w:t>
      </w:r>
      <w:r w:rsidRPr="0066273A">
        <w:t>, and any negotiated adjustments.</w:t>
      </w:r>
    </w:p>
    <w:p w14:paraId="0A122D93" w14:textId="764CB256" w:rsidR="00FD3824" w:rsidRDefault="00FD3824" w:rsidP="0084171A">
      <w:pPr>
        <w:pStyle w:val="COTCOCLV3-ASDEFCON"/>
      </w:pPr>
      <w:r>
        <w:t xml:space="preserve">The Milestone Payment Schedule is detailed in the file: </w:t>
      </w:r>
      <w:r w:rsidRPr="00121F0C">
        <w:rPr>
          <w:b/>
        </w:rPr>
        <w:fldChar w:fldCharType="begin">
          <w:ffData>
            <w:name w:val=""/>
            <w:enabled/>
            <w:calcOnExit w:val="0"/>
            <w:textInput>
              <w:default w:val="(…INSERT the file name for the &quot;Milestone Payment Schedule&quot; tab from the workbook…)"/>
            </w:textInput>
          </w:ffData>
        </w:fldChar>
      </w:r>
      <w:r w:rsidRPr="00AA61A4">
        <w:rPr>
          <w:b/>
        </w:rPr>
        <w:instrText xml:space="preserve"> FORMTEXT </w:instrText>
      </w:r>
      <w:r w:rsidRPr="00121F0C">
        <w:rPr>
          <w:b/>
        </w:rPr>
      </w:r>
      <w:r w:rsidRPr="00121F0C">
        <w:rPr>
          <w:b/>
        </w:rPr>
        <w:fldChar w:fldCharType="separate"/>
      </w:r>
      <w:r w:rsidR="00006AF2">
        <w:rPr>
          <w:b/>
          <w:noProof/>
        </w:rPr>
        <w:t>(…INSERT the file name for the "Milestone Payment Schedule" tab from the workbook…)</w:t>
      </w:r>
      <w:r w:rsidRPr="00121F0C">
        <w:rPr>
          <w:b/>
        </w:rPr>
        <w:fldChar w:fldCharType="end"/>
      </w:r>
      <w:r>
        <w:t>, and forms Annex B to this Attachment.</w:t>
      </w:r>
    </w:p>
    <w:p w14:paraId="618CF951" w14:textId="77777777" w:rsidR="00F64EB3" w:rsidRDefault="0084171A" w:rsidP="0084171A">
      <w:pPr>
        <w:pStyle w:val="COTCOCLV3-ASDEFCON"/>
      </w:pPr>
      <w:r>
        <w:t>The Commonwealth shall, for achievement of a Milestone, pay to the Contractor the relevant Milestone Payment as specified in</w:t>
      </w:r>
      <w:r w:rsidR="00FE1B2E">
        <w:t xml:space="preserve"> the</w:t>
      </w:r>
      <w:r>
        <w:t xml:space="preserve"> ‘Milestone Payment Schedule’.</w:t>
      </w:r>
    </w:p>
    <w:p w14:paraId="14B4954B" w14:textId="2CE9D9C2" w:rsidR="0084171A" w:rsidRDefault="0084171A" w:rsidP="0084171A">
      <w:pPr>
        <w:pStyle w:val="COTCOCLV3-ASDEFCON"/>
      </w:pPr>
      <w:bookmarkStart w:id="7" w:name="_Ref424734788"/>
      <w:r w:rsidRPr="0066273A">
        <w:t xml:space="preserve">The Contractor is taken to have achieved a Milestone only if </w:t>
      </w:r>
      <w:r>
        <w:t xml:space="preserve">all of </w:t>
      </w:r>
      <w:r w:rsidRPr="0066273A">
        <w:t xml:space="preserve">the </w:t>
      </w:r>
      <w:r>
        <w:t>M</w:t>
      </w:r>
      <w:r w:rsidRPr="0066273A">
        <w:t xml:space="preserve">ilestone </w:t>
      </w:r>
      <w:r>
        <w:t xml:space="preserve">criteria </w:t>
      </w:r>
      <w:r w:rsidRPr="0066273A">
        <w:t xml:space="preserve">set out in </w:t>
      </w:r>
      <w:r>
        <w:t xml:space="preserve">Attachment C have </w:t>
      </w:r>
      <w:r w:rsidRPr="0066273A">
        <w:t>been satisfied.</w:t>
      </w:r>
      <w:bookmarkEnd w:id="7"/>
    </w:p>
    <w:p w14:paraId="1B8870B8" w14:textId="11CA83B7" w:rsidR="0084171A" w:rsidRPr="002A29EA" w:rsidRDefault="00603854" w:rsidP="0084171A">
      <w:pPr>
        <w:pStyle w:val="COTCOCLV1-ASDEFCON"/>
      </w:pPr>
      <w:bookmarkStart w:id="8" w:name="_Ref75166499"/>
      <w:bookmarkStart w:id="9" w:name="_Ref75530697"/>
      <w:bookmarkStart w:id="10" w:name="_Ref79646131"/>
      <w:bookmarkStart w:id="11" w:name="_Toc175039455"/>
      <w:r>
        <w:lastRenderedPageBreak/>
        <w:t>A</w:t>
      </w:r>
      <w:r w:rsidR="0084171A" w:rsidRPr="002A29EA">
        <w:t>djustments (</w:t>
      </w:r>
      <w:r w:rsidR="0084171A">
        <w:t>CORE</w:t>
      </w:r>
      <w:r w:rsidR="0084171A" w:rsidRPr="002A29EA">
        <w:t>)</w:t>
      </w:r>
      <w:bookmarkEnd w:id="8"/>
      <w:bookmarkEnd w:id="9"/>
      <w:bookmarkEnd w:id="10"/>
      <w:bookmarkEnd w:id="11"/>
    </w:p>
    <w:p w14:paraId="5C59103E" w14:textId="1918B457" w:rsidR="0084171A" w:rsidDel="00461589" w:rsidRDefault="0084171A" w:rsidP="0084171A">
      <w:pPr>
        <w:pStyle w:val="NoteToTenderers-ASDEFCON"/>
      </w:pPr>
      <w:r w:rsidRPr="002A29EA" w:rsidDel="00461589">
        <w:t xml:space="preserve">Note to tenderers:  </w:t>
      </w:r>
      <w:r w:rsidR="005770C9">
        <w:t xml:space="preserve">Clause </w:t>
      </w:r>
      <w:r w:rsidR="005770C9">
        <w:fldChar w:fldCharType="begin"/>
      </w:r>
      <w:r w:rsidR="005770C9">
        <w:instrText xml:space="preserve"> REF _Ref79646131 \r \h </w:instrText>
      </w:r>
      <w:r w:rsidR="005770C9">
        <w:fldChar w:fldCharType="separate"/>
      </w:r>
      <w:r w:rsidR="00006AF2">
        <w:t>4</w:t>
      </w:r>
      <w:r w:rsidR="005770C9">
        <w:fldChar w:fldCharType="end"/>
      </w:r>
      <w:r w:rsidR="005770C9">
        <w:t xml:space="preserve">, including </w:t>
      </w:r>
      <w:r w:rsidRPr="002A29EA" w:rsidDel="00461589">
        <w:t xml:space="preserve">Annex </w:t>
      </w:r>
      <w:r w:rsidR="006435EA" w:rsidDel="00461589">
        <w:t>C</w:t>
      </w:r>
      <w:r w:rsidR="005770C9">
        <w:t>,</w:t>
      </w:r>
      <w:r w:rsidRPr="002A29EA" w:rsidDel="00461589">
        <w:t xml:space="preserve"> </w:t>
      </w:r>
      <w:r w:rsidDel="00461589">
        <w:t>will</w:t>
      </w:r>
      <w:r w:rsidRPr="002A29EA" w:rsidDel="00461589">
        <w:t xml:space="preserve"> consist of an amalgamation of the </w:t>
      </w:r>
      <w:r w:rsidR="005770C9" w:rsidRPr="002A29EA" w:rsidDel="00461589">
        <w:t>successful tenderer’s response</w:t>
      </w:r>
      <w:r w:rsidR="005770C9" w:rsidDel="00461589">
        <w:t xml:space="preserve"> to TDR D-4</w:t>
      </w:r>
      <w:r w:rsidR="005770C9">
        <w:t xml:space="preserve">, including the </w:t>
      </w:r>
      <w:r w:rsidR="004D4308">
        <w:t>ACQ</w:t>
      </w:r>
      <w:r w:rsidR="00161F8B">
        <w:t>PW</w:t>
      </w:r>
      <w:r w:rsidR="006435EA" w:rsidDel="00461589">
        <w:t xml:space="preserve"> ‘</w:t>
      </w:r>
      <w:r w:rsidR="005770C9">
        <w:t>Adjustments</w:t>
      </w:r>
      <w:r w:rsidR="006435EA" w:rsidDel="00461589">
        <w:t xml:space="preserve">’ </w:t>
      </w:r>
      <w:r w:rsidR="00161F8B">
        <w:t>worksheet</w:t>
      </w:r>
      <w:r w:rsidDel="00461589">
        <w:t xml:space="preserve">, </w:t>
      </w:r>
      <w:r w:rsidRPr="0066273A" w:rsidDel="00461589">
        <w:t>and any negotiated adjustments</w:t>
      </w:r>
      <w:r w:rsidDel="00461589">
        <w:t xml:space="preserve">.  </w:t>
      </w:r>
      <w:r w:rsidRPr="00BD4038" w:rsidDel="00461589">
        <w:t>Agreements reached as a result of workplace enterprise bargaining are not considered to be awards for the purposes of the formula set out below</w:t>
      </w:r>
      <w:r w:rsidDel="00461589">
        <w:t>.</w:t>
      </w:r>
    </w:p>
    <w:p w14:paraId="273DC3C3" w14:textId="118B1C00" w:rsidR="00503DC0" w:rsidRDefault="00503DC0" w:rsidP="00D63B74">
      <w:pPr>
        <w:pStyle w:val="COTCOCLV2-ASDEFCON"/>
      </w:pPr>
      <w:r>
        <w:t>General</w:t>
      </w:r>
    </w:p>
    <w:p w14:paraId="3E2C1A5E" w14:textId="025978F6" w:rsidR="00503DC0" w:rsidRDefault="00503DC0" w:rsidP="00D63B74">
      <w:pPr>
        <w:pStyle w:val="COTCOCLV3-ASDEFCON"/>
        <w:rPr>
          <w:szCs w:val="22"/>
        </w:rPr>
      </w:pPr>
      <w:bookmarkStart w:id="12" w:name="_Ref75268112"/>
      <w:r>
        <w:t xml:space="preserve">In this </w:t>
      </w:r>
      <w:r w:rsidR="004E61F9">
        <w:t>clause</w:t>
      </w:r>
      <w:r w:rsidR="005C5812">
        <w:t xml:space="preserve"> </w:t>
      </w:r>
      <w:r w:rsidR="005C5812">
        <w:fldChar w:fldCharType="begin"/>
      </w:r>
      <w:r w:rsidR="005C5812">
        <w:instrText xml:space="preserve"> REF _Ref75530697 \r \h </w:instrText>
      </w:r>
      <w:r w:rsidR="005C5812">
        <w:fldChar w:fldCharType="separate"/>
      </w:r>
      <w:r w:rsidR="00006AF2">
        <w:t>4</w:t>
      </w:r>
      <w:r w:rsidR="005C5812">
        <w:fldChar w:fldCharType="end"/>
      </w:r>
      <w:r>
        <w:t>, the following interpretations apply:</w:t>
      </w:r>
      <w:bookmarkEnd w:id="12"/>
    </w:p>
    <w:p w14:paraId="3CFC67AF" w14:textId="35D07696" w:rsidR="00503DC0" w:rsidRDefault="00503DC0" w:rsidP="00D63B74">
      <w:pPr>
        <w:pStyle w:val="COTCOCLV4-ASDEFCON"/>
      </w:pPr>
      <w:r>
        <w:t xml:space="preserve">for the purposes of calculating adjustments, the Milestone </w:t>
      </w:r>
      <w:r w:rsidR="00776E5F">
        <w:t xml:space="preserve">Date </w:t>
      </w:r>
      <w:r>
        <w:t>is the date specified in Attachment C for the achievement of the relevant Milestone or such earlier date upon which the Milestone is achieved;</w:t>
      </w:r>
    </w:p>
    <w:p w14:paraId="445F216A" w14:textId="77777777" w:rsidR="00776E5F" w:rsidRDefault="00776E5F" w:rsidP="00776E5F">
      <w:pPr>
        <w:pStyle w:val="COTCOCLV4-ASDEFCON"/>
      </w:pPr>
      <w:bookmarkStart w:id="13" w:name="_Ref75164178"/>
      <w:r>
        <w:t>references to a quarter are to a calendar quarter (January-March, April-June, July-September, and October-December);</w:t>
      </w:r>
    </w:p>
    <w:p w14:paraId="7DA8411C" w14:textId="682EAD2B" w:rsidR="00776E5F" w:rsidRDefault="00884568" w:rsidP="00D63B74">
      <w:pPr>
        <w:pStyle w:val="COTCOCLV4-ASDEFCON"/>
      </w:pPr>
      <w:r>
        <w:t>a</w:t>
      </w:r>
      <w:r w:rsidR="00503DC0">
        <w:t xml:space="preserve"> reference to the quarter </w:t>
      </w:r>
      <w:r w:rsidR="00776E5F">
        <w:t>preceding</w:t>
      </w:r>
      <w:r w:rsidR="00503DC0">
        <w:t xml:space="preserve"> the quarter </w:t>
      </w:r>
      <w:r w:rsidR="00776E5F">
        <w:t>containing a Milestone Date (or other event for which payment is applicable):</w:t>
      </w:r>
      <w:r w:rsidR="00503DC0">
        <w:t xml:space="preserve"> </w:t>
      </w:r>
    </w:p>
    <w:p w14:paraId="371FC99A" w14:textId="1029A191" w:rsidR="00776E5F" w:rsidRDefault="00503DC0" w:rsidP="008C2392">
      <w:pPr>
        <w:pStyle w:val="COTCOCLV5-ASDEFCON"/>
      </w:pPr>
      <w:r>
        <w:t xml:space="preserve">is premised on the understanding that </w:t>
      </w:r>
      <w:r w:rsidR="00776E5F">
        <w:t xml:space="preserve">Contract </w:t>
      </w:r>
      <w:r>
        <w:t>cost</w:t>
      </w:r>
      <w:r w:rsidR="00776E5F">
        <w:t>s</w:t>
      </w:r>
      <w:r>
        <w:t xml:space="preserve"> </w:t>
      </w:r>
      <w:r w:rsidR="00776E5F">
        <w:t>are</w:t>
      </w:r>
      <w:r>
        <w:t xml:space="preserve"> </w:t>
      </w:r>
      <w:r w:rsidR="00B00739">
        <w:t xml:space="preserve">largely </w:t>
      </w:r>
      <w:r>
        <w:t xml:space="preserve">incurred in the </w:t>
      </w:r>
      <w:r w:rsidR="00B00739">
        <w:t>prior quarter</w:t>
      </w:r>
      <w:r w:rsidR="00776E5F">
        <w:t>;</w:t>
      </w:r>
    </w:p>
    <w:p w14:paraId="6C1C6ACB" w14:textId="2CD7B35C" w:rsidR="00776E5F" w:rsidRDefault="00776E5F" w:rsidP="008C2392">
      <w:pPr>
        <w:pStyle w:val="COTCOCLV5-ASDEFCON"/>
      </w:pPr>
      <w:r>
        <w:t>avoids the</w:t>
      </w:r>
      <w:r w:rsidR="00B00739">
        <w:t xml:space="preserve"> delay </w:t>
      </w:r>
      <w:r>
        <w:t>(</w:t>
      </w:r>
      <w:proofErr w:type="spellStart"/>
      <w:r>
        <w:t>eg</w:t>
      </w:r>
      <w:proofErr w:type="spellEnd"/>
      <w:r>
        <w:t xml:space="preserve">, of several months) for </w:t>
      </w:r>
      <w:r w:rsidR="00B00739">
        <w:t xml:space="preserve">indices </w:t>
      </w:r>
      <w:r>
        <w:t xml:space="preserve">to be published, and </w:t>
      </w:r>
      <w:r w:rsidR="00D63B74">
        <w:t>the</w:t>
      </w:r>
      <w:r w:rsidR="00503DC0">
        <w:t xml:space="preserve"> </w:t>
      </w:r>
      <w:r>
        <w:t xml:space="preserve">subsequent </w:t>
      </w:r>
      <w:r w:rsidR="00503DC0">
        <w:t>calculat</w:t>
      </w:r>
      <w:r w:rsidR="00D63B74">
        <w:t xml:space="preserve">ion </w:t>
      </w:r>
      <w:r>
        <w:t>and payment</w:t>
      </w:r>
      <w:r w:rsidR="00503DC0">
        <w:t xml:space="preserve"> of</w:t>
      </w:r>
      <w:r w:rsidR="00D63B74">
        <w:t xml:space="preserve"> the</w:t>
      </w:r>
      <w:r w:rsidR="00503DC0">
        <w:t xml:space="preserve"> </w:t>
      </w:r>
      <w:r w:rsidR="007D5521">
        <w:t xml:space="preserve">price </w:t>
      </w:r>
      <w:r w:rsidR="00503DC0">
        <w:t>adjustment;</w:t>
      </w:r>
      <w:bookmarkEnd w:id="13"/>
    </w:p>
    <w:p w14:paraId="55FFB535" w14:textId="42F3D3BC" w:rsidR="00503DC0" w:rsidRDefault="00503DC0" w:rsidP="008C2392">
      <w:pPr>
        <w:pStyle w:val="COTCOCLV5-ASDEFCON"/>
      </w:pPr>
      <w:r>
        <w:t>ensure</w:t>
      </w:r>
      <w:r w:rsidR="00776E5F">
        <w:t>s</w:t>
      </w:r>
      <w:r>
        <w:t xml:space="preserve"> that the Commonwealth does not </w:t>
      </w:r>
      <w:r w:rsidR="00A41B7F">
        <w:t xml:space="preserve">pay </w:t>
      </w:r>
      <w:r w:rsidR="00957F52">
        <w:t xml:space="preserve">an </w:t>
      </w:r>
      <w:r>
        <w:t>adjustment for a quarter in which limited or no work has been undertaken;</w:t>
      </w:r>
    </w:p>
    <w:p w14:paraId="204DD20D" w14:textId="1F0EBE26" w:rsidR="00F64EB3" w:rsidRDefault="00503DC0" w:rsidP="00D63B74">
      <w:pPr>
        <w:pStyle w:val="COTCOCLV4-ASDEFCON"/>
      </w:pPr>
      <w:r>
        <w:t xml:space="preserve">if the due date of the previous Milestone and the due date of the current Milestone fall within the same quarter, then the index </w:t>
      </w:r>
      <w:r w:rsidR="00A41B7F">
        <w:t xml:space="preserve">value </w:t>
      </w:r>
      <w:r>
        <w:t>for the preceding quarter shall be used;</w:t>
      </w:r>
    </w:p>
    <w:p w14:paraId="004A551F" w14:textId="34526F18" w:rsidR="00503DC0" w:rsidRDefault="00503DC0" w:rsidP="00D63B74">
      <w:pPr>
        <w:pStyle w:val="COTCOCLV4-ASDEFCON"/>
      </w:pPr>
      <w:r>
        <w:t xml:space="preserve">subject to paragraph </w:t>
      </w:r>
      <w:r w:rsidR="00A41B7F">
        <w:fldChar w:fldCharType="begin"/>
      </w:r>
      <w:r w:rsidR="00A41B7F">
        <w:instrText xml:space="preserve"> REF _Ref129158412 \r \h </w:instrText>
      </w:r>
      <w:r w:rsidR="00A41B7F">
        <w:fldChar w:fldCharType="separate"/>
      </w:r>
      <w:r w:rsidR="00006AF2">
        <w:t>g</w:t>
      </w:r>
      <w:r w:rsidR="00A41B7F">
        <w:fldChar w:fldCharType="end"/>
      </w:r>
      <w:r>
        <w:t xml:space="preserve"> and </w:t>
      </w:r>
      <w:r w:rsidR="00A41B7F">
        <w:fldChar w:fldCharType="begin"/>
      </w:r>
      <w:r w:rsidR="00A41B7F">
        <w:instrText xml:space="preserve"> REF _Ref129158415 \r \h </w:instrText>
      </w:r>
      <w:r w:rsidR="00A41B7F">
        <w:fldChar w:fldCharType="separate"/>
      </w:r>
      <w:r w:rsidR="00006AF2">
        <w:t>h</w:t>
      </w:r>
      <w:r w:rsidR="00A41B7F">
        <w:fldChar w:fldCharType="end"/>
      </w:r>
      <w:r>
        <w:t xml:space="preserve">, references to an index </w:t>
      </w:r>
      <w:r w:rsidR="00A41B7F">
        <w:t xml:space="preserve">value </w:t>
      </w:r>
      <w:r>
        <w:t xml:space="preserve">for a quarter are to the index number(s) published at any time </w:t>
      </w:r>
      <w:r w:rsidR="00A41B7F">
        <w:t xml:space="preserve">in respect of </w:t>
      </w:r>
      <w:r>
        <w:t>that quarter;</w:t>
      </w:r>
    </w:p>
    <w:p w14:paraId="3EB035B1" w14:textId="60E5F38B" w:rsidR="00503DC0" w:rsidRDefault="00503DC0" w:rsidP="00D63B74">
      <w:pPr>
        <w:pStyle w:val="COTCOCLV4-ASDEFCON"/>
      </w:pPr>
      <w:bookmarkStart w:id="14" w:name="_Ref75166392"/>
      <w:r>
        <w:t xml:space="preserve">if a source of an index </w:t>
      </w:r>
      <w:r w:rsidR="00A41B7F">
        <w:t xml:space="preserve">series </w:t>
      </w:r>
      <w:r>
        <w:t>publishes provisional and final index</w:t>
      </w:r>
      <w:r w:rsidR="00A41B7F">
        <w:t xml:space="preserve"> values</w:t>
      </w:r>
      <w:r>
        <w:t xml:space="preserve">, index </w:t>
      </w:r>
      <w:r w:rsidR="00A41B7F">
        <w:t xml:space="preserve">values </w:t>
      </w:r>
      <w:r>
        <w:t>designated as provisional shall not be used;</w:t>
      </w:r>
      <w:bookmarkEnd w:id="14"/>
    </w:p>
    <w:p w14:paraId="0908A052" w14:textId="449101B7" w:rsidR="00503DC0" w:rsidRDefault="00503DC0" w:rsidP="00D63B74">
      <w:pPr>
        <w:pStyle w:val="COTCOCLV4-ASDEFCON"/>
      </w:pPr>
      <w:bookmarkStart w:id="15" w:name="_Ref129158412"/>
      <w:r>
        <w:t xml:space="preserve">subject to paragraph </w:t>
      </w:r>
      <w:r w:rsidR="00A41B7F">
        <w:fldChar w:fldCharType="begin"/>
      </w:r>
      <w:r w:rsidR="00A41B7F">
        <w:instrText xml:space="preserve"> REF _Ref75166392 \r \h </w:instrText>
      </w:r>
      <w:r w:rsidR="00A41B7F">
        <w:fldChar w:fldCharType="separate"/>
      </w:r>
      <w:r w:rsidR="00006AF2">
        <w:t>f</w:t>
      </w:r>
      <w:r w:rsidR="00A41B7F">
        <w:fldChar w:fldCharType="end"/>
      </w:r>
      <w:r>
        <w:t>, if a</w:t>
      </w:r>
      <w:r w:rsidR="00A41B7F">
        <w:t xml:space="preserve"> quarterly</w:t>
      </w:r>
      <w:r>
        <w:t xml:space="preserve"> index is published more than once, for the purposes of the formulae, the index </w:t>
      </w:r>
      <w:r w:rsidR="00A41B7F">
        <w:t xml:space="preserve">value </w:t>
      </w:r>
      <w:r>
        <w:t xml:space="preserve">for that quarter shall be taken to be the </w:t>
      </w:r>
      <w:r w:rsidR="00A41B7F">
        <w:t xml:space="preserve">first </w:t>
      </w:r>
      <w:r>
        <w:t xml:space="preserve">index </w:t>
      </w:r>
      <w:r w:rsidR="00A41B7F">
        <w:t xml:space="preserve">value </w:t>
      </w:r>
      <w:r w:rsidR="000D1C37">
        <w:t xml:space="preserve">officially </w:t>
      </w:r>
      <w:r>
        <w:t xml:space="preserve">published in </w:t>
      </w:r>
      <w:r w:rsidR="00A41B7F">
        <w:t xml:space="preserve">the quarter following </w:t>
      </w:r>
      <w:r>
        <w:t>that quarter; and</w:t>
      </w:r>
      <w:bookmarkEnd w:id="15"/>
    </w:p>
    <w:p w14:paraId="2AFB238F" w14:textId="069F3C26" w:rsidR="00503DC0" w:rsidRDefault="00503DC0" w:rsidP="00D63B74">
      <w:pPr>
        <w:pStyle w:val="COTCOCLV4-ASDEFCON"/>
      </w:pPr>
      <w:bookmarkStart w:id="16" w:name="_Ref129158415"/>
      <w:r>
        <w:t>if an index is discontinued, rebased or modified and the entity publishing that index provides official guidance on the replacement, bridging or re</w:t>
      </w:r>
      <w:r w:rsidR="007B130F">
        <w:t>-</w:t>
      </w:r>
      <w:r>
        <w:t>baselining methodology to be applied, that guidance should be used as one of the inputs for determining any required update</w:t>
      </w:r>
      <w:r w:rsidR="00D45B6E">
        <w:t xml:space="preserve"> to</w:t>
      </w:r>
      <w:r>
        <w:t xml:space="preserve"> the index, as set out in this </w:t>
      </w:r>
      <w:r w:rsidR="008658F6">
        <w:t xml:space="preserve">clause </w:t>
      </w:r>
      <w:r w:rsidR="008658F6">
        <w:fldChar w:fldCharType="begin"/>
      </w:r>
      <w:r w:rsidR="008658F6">
        <w:instrText xml:space="preserve"> REF _Ref75166499 \r \h </w:instrText>
      </w:r>
      <w:r w:rsidR="008658F6">
        <w:fldChar w:fldCharType="separate"/>
      </w:r>
      <w:r w:rsidR="00006AF2">
        <w:t>4</w:t>
      </w:r>
      <w:r w:rsidR="008658F6">
        <w:fldChar w:fldCharType="end"/>
      </w:r>
      <w:r>
        <w:t>.</w:t>
      </w:r>
      <w:bookmarkEnd w:id="16"/>
    </w:p>
    <w:p w14:paraId="41DA7B52" w14:textId="7D3959F7" w:rsidR="00503DC0" w:rsidRDefault="00503DC0" w:rsidP="00D63B74">
      <w:pPr>
        <w:pStyle w:val="COTCOCLV2-ASDEFCON"/>
      </w:pPr>
      <w:r>
        <w:t>Adjustment Process</w:t>
      </w:r>
    </w:p>
    <w:p w14:paraId="2F72A233" w14:textId="509B46AC" w:rsidR="009D2EF7" w:rsidRPr="005D01F7" w:rsidRDefault="009D2EF7" w:rsidP="0062165D">
      <w:pPr>
        <w:pStyle w:val="COTCOCLV3-ASDEFCON"/>
        <w:rPr>
          <w:lang w:val="en-GB"/>
        </w:rPr>
      </w:pPr>
      <w:bookmarkStart w:id="17" w:name="_Ref75258550"/>
      <w:bookmarkStart w:id="18" w:name="_Ref371592595"/>
      <w:r>
        <w:t>For each currency identified in this Attachment B, the following price adjustment formula shall be applied in accordance with clause 7.</w:t>
      </w:r>
      <w:r w:rsidR="00D27F41">
        <w:t>3</w:t>
      </w:r>
      <w:r>
        <w:t xml:space="preserve"> of the conditions of contract:</w:t>
      </w:r>
      <w:bookmarkEnd w:id="17"/>
    </w:p>
    <w:p w14:paraId="6FD73758" w14:textId="23281366" w:rsidR="004119D5" w:rsidRDefault="00CD1668" w:rsidP="003463EE">
      <w:pPr>
        <w:pStyle w:val="ASDEFCONNormal"/>
        <w:jc w:val="center"/>
      </w:pPr>
      <m:oMathPara>
        <m:oMath>
          <m:r>
            <w:rPr>
              <w:rFonts w:ascii="Cambria Math" w:hAnsi="Cambria Math"/>
            </w:rPr>
            <m:t>PA=P*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q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</m:nary>
              <m: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r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</m:nary>
            </m:e>
          </m:d>
          <m:r>
            <w:rPr>
              <w:rFonts w:ascii="Cambria Math" w:hAnsi="Cambria Math"/>
            </w:rPr>
            <m:t>-P</m:t>
          </m:r>
        </m:oMath>
      </m:oMathPara>
    </w:p>
    <w:p w14:paraId="5BC53CCB" w14:textId="48DE67AA" w:rsidR="009D2EF7" w:rsidRDefault="00D45B6E" w:rsidP="006A7A79">
      <w:pPr>
        <w:pStyle w:val="COTCOCLV3NONUM-ASDEFCON"/>
      </w:pPr>
      <w:r>
        <w:t>W</w:t>
      </w:r>
      <w:r w:rsidR="009D2EF7">
        <w:t>here</w:t>
      </w:r>
      <w:r>
        <w:t>,</w:t>
      </w:r>
      <w:r w:rsidRPr="00D45B6E">
        <w:rPr>
          <w:sz w:val="18"/>
          <w:szCs w:val="18"/>
        </w:rPr>
        <w:t xml:space="preserve"> </w:t>
      </w:r>
      <w:r>
        <w:rPr>
          <w:sz w:val="18"/>
          <w:szCs w:val="18"/>
        </w:rPr>
        <w:t>for a particular source currency</w:t>
      </w:r>
      <w:r w:rsidR="009D2EF7">
        <w:t>: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343"/>
      </w:tblGrid>
      <w:tr w:rsidR="009D2EF7" w:rsidRPr="00F25DFF" w14:paraId="4DD81AD1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38BA0F6A" w14:textId="77777777" w:rsidR="009D2EF7" w:rsidRPr="00F25DFF" w:rsidRDefault="009D2EF7" w:rsidP="00E12F3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F25DFF">
              <w:rPr>
                <w:b/>
                <w:sz w:val="18"/>
                <w:szCs w:val="18"/>
              </w:rPr>
              <w:t>Ref</w:t>
            </w:r>
          </w:p>
        </w:tc>
        <w:tc>
          <w:tcPr>
            <w:tcW w:w="7343" w:type="dxa"/>
            <w:shd w:val="clear" w:color="auto" w:fill="auto"/>
          </w:tcPr>
          <w:p w14:paraId="54EE1CEA" w14:textId="77777777" w:rsidR="009D2EF7" w:rsidRPr="00F25DFF" w:rsidRDefault="009D2EF7" w:rsidP="00E12F37">
            <w:pPr>
              <w:spacing w:before="40" w:after="40"/>
              <w:rPr>
                <w:b/>
                <w:sz w:val="18"/>
                <w:szCs w:val="18"/>
              </w:rPr>
            </w:pPr>
            <w:r w:rsidRPr="00F25DFF">
              <w:rPr>
                <w:b/>
                <w:sz w:val="18"/>
                <w:szCs w:val="18"/>
              </w:rPr>
              <w:t>Description</w:t>
            </w:r>
          </w:p>
        </w:tc>
      </w:tr>
      <w:tr w:rsidR="009D2EF7" w:rsidRPr="003B4D5A" w14:paraId="5CE6D0BC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7689ADA6" w14:textId="77777777" w:rsidR="009D2EF7" w:rsidRPr="00F25DFF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5DFF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7343" w:type="dxa"/>
            <w:shd w:val="clear" w:color="auto" w:fill="auto"/>
          </w:tcPr>
          <w:p w14:paraId="1AD79E76" w14:textId="7900CC46" w:rsidR="009D2EF7" w:rsidRPr="00F25DFF" w:rsidRDefault="006E0809" w:rsidP="00D45B6E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the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9D2EF7">
              <w:rPr>
                <w:sz w:val="18"/>
                <w:szCs w:val="18"/>
              </w:rPr>
              <w:t>price adjustment</w:t>
            </w:r>
            <w:r>
              <w:rPr>
                <w:sz w:val="18"/>
                <w:szCs w:val="18"/>
              </w:rPr>
              <w:t>,</w:t>
            </w:r>
            <w:r w:rsidR="009D2EF7">
              <w:rPr>
                <w:sz w:val="18"/>
                <w:szCs w:val="18"/>
              </w:rPr>
              <w:t xml:space="preserve"> for a</w:t>
            </w:r>
            <w:r>
              <w:rPr>
                <w:sz w:val="18"/>
                <w:szCs w:val="18"/>
              </w:rPr>
              <w:t xml:space="preserve"> price in</w:t>
            </w:r>
            <w:r w:rsidR="00D45B6E">
              <w:rPr>
                <w:sz w:val="18"/>
                <w:szCs w:val="18"/>
              </w:rPr>
              <w:t xml:space="preserve"> the Price and Payment schedule</w:t>
            </w:r>
            <w:r w:rsidR="009D2EF7">
              <w:rPr>
                <w:sz w:val="18"/>
                <w:szCs w:val="18"/>
              </w:rPr>
              <w:t>.</w:t>
            </w:r>
          </w:p>
        </w:tc>
      </w:tr>
      <w:tr w:rsidR="009D2EF7" w:rsidRPr="003B4D5A" w14:paraId="251EFC08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1DE29B29" w14:textId="77777777" w:rsidR="009D2EF7" w:rsidRPr="003B4D5A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4D5A">
              <w:rPr>
                <w:sz w:val="18"/>
                <w:szCs w:val="18"/>
              </w:rPr>
              <w:t>P</w:t>
            </w:r>
          </w:p>
        </w:tc>
        <w:tc>
          <w:tcPr>
            <w:tcW w:w="7343" w:type="dxa"/>
            <w:shd w:val="clear" w:color="auto" w:fill="auto"/>
          </w:tcPr>
          <w:p w14:paraId="196725B9" w14:textId="3A6699CF" w:rsidR="009D2EF7" w:rsidRPr="003B4D5A" w:rsidRDefault="006E0809" w:rsidP="00D45B6E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the</w:t>
            </w:r>
            <w:proofErr w:type="gramEnd"/>
            <w:r>
              <w:rPr>
                <w:sz w:val="18"/>
                <w:szCs w:val="18"/>
              </w:rPr>
              <w:t xml:space="preserve"> price </w:t>
            </w:r>
            <w:r w:rsidR="00D45B6E">
              <w:rPr>
                <w:sz w:val="18"/>
                <w:szCs w:val="18"/>
              </w:rPr>
              <w:t xml:space="preserve">in the Price and Payments schedule, </w:t>
            </w:r>
            <w:r>
              <w:rPr>
                <w:sz w:val="18"/>
                <w:szCs w:val="18"/>
              </w:rPr>
              <w:t xml:space="preserve">as </w:t>
            </w:r>
            <w:r w:rsidR="00D45B6E">
              <w:rPr>
                <w:sz w:val="18"/>
                <w:szCs w:val="18"/>
              </w:rPr>
              <w:t xml:space="preserve">applicable </w:t>
            </w:r>
            <w:r>
              <w:rPr>
                <w:sz w:val="18"/>
                <w:szCs w:val="18"/>
              </w:rPr>
              <w:t xml:space="preserve">at the </w:t>
            </w:r>
            <w:r w:rsidR="009D2EF7">
              <w:rPr>
                <w:sz w:val="18"/>
                <w:szCs w:val="18"/>
              </w:rPr>
              <w:t>Base Date.</w:t>
            </w:r>
          </w:p>
        </w:tc>
      </w:tr>
      <w:tr w:rsidR="009D2EF7" w:rsidRPr="00F25DFF" w14:paraId="4FF02A23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30B77FDF" w14:textId="77777777" w:rsidR="009D2EF7" w:rsidRPr="003B4D5A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343" w:type="dxa"/>
            <w:shd w:val="clear" w:color="auto" w:fill="auto"/>
          </w:tcPr>
          <w:p w14:paraId="0AB15400" w14:textId="29D2732E" w:rsidR="009D2EF7" w:rsidRPr="003B4D5A" w:rsidRDefault="00AE685D" w:rsidP="004B1169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if</w:t>
            </w:r>
            <w:proofErr w:type="gramEnd"/>
            <w:r>
              <w:rPr>
                <w:sz w:val="18"/>
                <w:szCs w:val="18"/>
              </w:rPr>
              <w:t xml:space="preserve"> applicable, a </w:t>
            </w:r>
            <w:r w:rsidR="009D2EF7">
              <w:rPr>
                <w:sz w:val="18"/>
                <w:szCs w:val="18"/>
              </w:rPr>
              <w:t xml:space="preserve">fixed or non-variable component of the </w:t>
            </w:r>
            <w:r w:rsidR="006E0809">
              <w:rPr>
                <w:sz w:val="18"/>
                <w:szCs w:val="18"/>
              </w:rPr>
              <w:t xml:space="preserve">price </w:t>
            </w:r>
            <w:r w:rsidR="009D2EF7">
              <w:rPr>
                <w:sz w:val="18"/>
                <w:szCs w:val="18"/>
              </w:rPr>
              <w:t>(expressed as a decimal)</w:t>
            </w:r>
            <w:r>
              <w:rPr>
                <w:sz w:val="18"/>
                <w:szCs w:val="18"/>
              </w:rPr>
              <w:t>,</w:t>
            </w:r>
            <w:r w:rsidR="009D2E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 </w:t>
            </w:r>
            <w:r w:rsidR="009D2EF7">
              <w:rPr>
                <w:sz w:val="18"/>
                <w:szCs w:val="18"/>
              </w:rPr>
              <w:t>a particular currency.</w:t>
            </w:r>
          </w:p>
        </w:tc>
      </w:tr>
      <w:tr w:rsidR="009D2EF7" w:rsidRPr="00F25DFF" w14:paraId="37B3DCE4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4B8D6C03" w14:textId="77777777" w:rsidR="009D2EF7" w:rsidRPr="003B4D5A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4D5A">
              <w:rPr>
                <w:sz w:val="18"/>
                <w:szCs w:val="18"/>
              </w:rPr>
              <w:t>Y</w:t>
            </w:r>
            <w:r w:rsidRPr="00402291">
              <w:rPr>
                <w:sz w:val="18"/>
                <w:szCs w:val="18"/>
                <w:vertAlign w:val="subscript"/>
              </w:rPr>
              <w:t>i</w:t>
            </w:r>
          </w:p>
        </w:tc>
        <w:tc>
          <w:tcPr>
            <w:tcW w:w="7343" w:type="dxa"/>
            <w:shd w:val="clear" w:color="auto" w:fill="auto"/>
          </w:tcPr>
          <w:p w14:paraId="0B758D21" w14:textId="5D2DCC83" w:rsidR="009D2EF7" w:rsidRPr="00F25DFF" w:rsidRDefault="00AE685D" w:rsidP="00D45B6E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the</w:t>
            </w:r>
            <w:proofErr w:type="gramEnd"/>
            <w:r w:rsidRPr="003B4D5A">
              <w:rPr>
                <w:sz w:val="18"/>
                <w:szCs w:val="18"/>
              </w:rPr>
              <w:t xml:space="preserve"> </w:t>
            </w:r>
            <w:r w:rsidR="009D2EF7" w:rsidRPr="003B4D5A">
              <w:rPr>
                <w:sz w:val="18"/>
                <w:szCs w:val="18"/>
              </w:rPr>
              <w:t xml:space="preserve">component </w:t>
            </w:r>
            <w:r w:rsidR="00D45B6E">
              <w:rPr>
                <w:sz w:val="18"/>
                <w:szCs w:val="18"/>
              </w:rPr>
              <w:t>of the price</w:t>
            </w:r>
            <w:r w:rsidR="009D2EF7" w:rsidRPr="003B4D5A">
              <w:rPr>
                <w:sz w:val="18"/>
                <w:szCs w:val="18"/>
              </w:rPr>
              <w:t xml:space="preserve"> (expressed as a decimal)</w:t>
            </w:r>
            <w:r w:rsidR="009D2EF7" w:rsidRPr="008243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that is attributed to </w:t>
            </w:r>
            <w:r w:rsidR="009D2EF7">
              <w:rPr>
                <w:sz w:val="18"/>
                <w:szCs w:val="18"/>
              </w:rPr>
              <w:t>a labour index</w:t>
            </w:r>
            <w:r w:rsidR="0032678C">
              <w:rPr>
                <w:sz w:val="18"/>
                <w:szCs w:val="18"/>
              </w:rPr>
              <w:t xml:space="preserve"> series</w:t>
            </w:r>
            <w:r w:rsidR="009D2EF7">
              <w:rPr>
                <w:sz w:val="18"/>
                <w:szCs w:val="18"/>
              </w:rPr>
              <w:t xml:space="preserve"> (L</w:t>
            </w:r>
            <w:r w:rsidR="009D2EF7" w:rsidRPr="00E538C0">
              <w:rPr>
                <w:sz w:val="18"/>
                <w:szCs w:val="18"/>
                <w:vertAlign w:val="subscript"/>
              </w:rPr>
              <w:t>i</w:t>
            </w:r>
            <w:r w:rsidR="009D2EF7">
              <w:rPr>
                <w:sz w:val="18"/>
                <w:szCs w:val="18"/>
              </w:rPr>
              <w:t>)</w:t>
            </w:r>
            <w:r w:rsidR="00D45B6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45B6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labour index</w:t>
            </w:r>
            <w:r w:rsidR="00D45B6E">
              <w:rPr>
                <w:sz w:val="18"/>
                <w:szCs w:val="18"/>
              </w:rPr>
              <w:t xml:space="preserve"> series</w:t>
            </w:r>
            <w:r>
              <w:rPr>
                <w:sz w:val="18"/>
                <w:szCs w:val="18"/>
              </w:rPr>
              <w:t xml:space="preserve"> tracks price variations</w:t>
            </w:r>
            <w:r w:rsidR="009D2EF7">
              <w:rPr>
                <w:sz w:val="18"/>
                <w:szCs w:val="18"/>
              </w:rPr>
              <w:t xml:space="preserve"> for a </w:t>
            </w:r>
            <w:r>
              <w:rPr>
                <w:sz w:val="18"/>
                <w:szCs w:val="18"/>
              </w:rPr>
              <w:t xml:space="preserve">labour category in a </w:t>
            </w:r>
            <w:r w:rsidR="009D2EF7">
              <w:rPr>
                <w:sz w:val="18"/>
                <w:szCs w:val="18"/>
              </w:rPr>
              <w:t>particular currency.</w:t>
            </w:r>
          </w:p>
        </w:tc>
      </w:tr>
      <w:tr w:rsidR="009D2EF7" w:rsidRPr="003B4D5A" w14:paraId="01BED024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0A2DEF9F" w14:textId="410B3AE3" w:rsidR="009D2EF7" w:rsidRPr="00F25DFF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5DFF">
              <w:rPr>
                <w:sz w:val="18"/>
                <w:szCs w:val="18"/>
              </w:rPr>
              <w:lastRenderedPageBreak/>
              <w:t>L</w:t>
            </w:r>
            <w:r w:rsidR="00AE685D">
              <w:rPr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7343" w:type="dxa"/>
            <w:shd w:val="clear" w:color="auto" w:fill="auto"/>
          </w:tcPr>
          <w:p w14:paraId="7083DCED" w14:textId="69C2CC9E" w:rsidR="0032678C" w:rsidRDefault="0032678C" w:rsidP="0032678C">
            <w:pPr>
              <w:pStyle w:val="NoteToDrafters-ASDEFCON"/>
            </w:pPr>
            <w:r>
              <w:t>Note to drafters:  If Cost Reimbursement is not used, remove the subparagraph b below and</w:t>
            </w:r>
            <w:r w:rsidR="00BB5A80">
              <w:t xml:space="preserve">/or if a Mobilisation Payment will not be considered for the Contract, remove </w:t>
            </w:r>
            <w:r>
              <w:t xml:space="preserve">subparagraph c </w:t>
            </w:r>
            <w:r w:rsidR="00BB5A80">
              <w:t>below.  In either case, amend the description as appropriate</w:t>
            </w:r>
            <w:r>
              <w:t>.</w:t>
            </w:r>
          </w:p>
          <w:p w14:paraId="1F4E639B" w14:textId="2077CA5C" w:rsidR="009D2EF7" w:rsidRDefault="004B1169" w:rsidP="00E12F3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</w:t>
            </w:r>
            <w:r w:rsidR="00D45B6E">
              <w:rPr>
                <w:sz w:val="18"/>
                <w:szCs w:val="18"/>
              </w:rPr>
              <w:t xml:space="preserve">labour index </w:t>
            </w:r>
            <w:r w:rsidR="00AE685D">
              <w:rPr>
                <w:sz w:val="18"/>
                <w:szCs w:val="18"/>
              </w:rPr>
              <w:t xml:space="preserve">value </w:t>
            </w:r>
            <w:r w:rsidR="006C5213">
              <w:rPr>
                <w:sz w:val="18"/>
                <w:szCs w:val="18"/>
              </w:rPr>
              <w:t>(</w:t>
            </w:r>
            <w:r w:rsidR="009D2EF7" w:rsidRPr="00F25DFF">
              <w:rPr>
                <w:sz w:val="18"/>
                <w:szCs w:val="18"/>
              </w:rPr>
              <w:t>number</w:t>
            </w:r>
            <w:r w:rsidR="006C5213">
              <w:rPr>
                <w:sz w:val="18"/>
                <w:szCs w:val="18"/>
              </w:rPr>
              <w:t>) for a specific labour index</w:t>
            </w:r>
            <w:r w:rsidR="00D45B6E">
              <w:rPr>
                <w:sz w:val="18"/>
                <w:szCs w:val="18"/>
              </w:rPr>
              <w:t xml:space="preserve"> series</w:t>
            </w:r>
            <w:r w:rsidR="006C521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(L</w:t>
            </w:r>
            <w:r w:rsidRPr="00E538C0">
              <w:rPr>
                <w:sz w:val="18"/>
                <w:szCs w:val="18"/>
                <w:vertAlign w:val="subscript"/>
              </w:rPr>
              <w:t>i</w:t>
            </w:r>
            <w:r>
              <w:rPr>
                <w:sz w:val="18"/>
                <w:szCs w:val="18"/>
              </w:rPr>
              <w:t>)</w:t>
            </w:r>
            <w:r w:rsidR="009F18FD">
              <w:rPr>
                <w:sz w:val="18"/>
                <w:szCs w:val="18"/>
              </w:rPr>
              <w:t>, which</w:t>
            </w:r>
            <w:r w:rsidR="009D2EF7">
              <w:rPr>
                <w:sz w:val="18"/>
                <w:szCs w:val="18"/>
              </w:rPr>
              <w:t xml:space="preserve"> (as required by clause </w:t>
            </w:r>
            <w:r w:rsidR="009D2EF7">
              <w:rPr>
                <w:sz w:val="18"/>
                <w:szCs w:val="18"/>
              </w:rPr>
              <w:fldChar w:fldCharType="begin"/>
            </w:r>
            <w:r w:rsidR="009D2EF7">
              <w:rPr>
                <w:sz w:val="18"/>
                <w:szCs w:val="18"/>
              </w:rPr>
              <w:instrText xml:space="preserve"> REF _Ref75164178 \r \h </w:instrText>
            </w:r>
            <w:r w:rsidR="009D2EF7">
              <w:rPr>
                <w:sz w:val="18"/>
                <w:szCs w:val="18"/>
              </w:rPr>
            </w:r>
            <w:r w:rsidR="009D2EF7">
              <w:rPr>
                <w:sz w:val="18"/>
                <w:szCs w:val="18"/>
              </w:rPr>
              <w:fldChar w:fldCharType="separate"/>
            </w:r>
            <w:r w:rsidR="00006AF2">
              <w:rPr>
                <w:sz w:val="18"/>
                <w:szCs w:val="18"/>
              </w:rPr>
              <w:t>4.1.1b</w:t>
            </w:r>
            <w:r w:rsidR="009D2EF7">
              <w:rPr>
                <w:sz w:val="18"/>
                <w:szCs w:val="18"/>
              </w:rPr>
              <w:fldChar w:fldCharType="end"/>
            </w:r>
            <w:r w:rsidR="009D2EF7">
              <w:rPr>
                <w:sz w:val="18"/>
                <w:szCs w:val="18"/>
              </w:rPr>
              <w:t xml:space="preserve"> above)</w:t>
            </w:r>
            <w:r w:rsidR="009D2EF7" w:rsidRPr="00F25DFF">
              <w:rPr>
                <w:sz w:val="18"/>
                <w:szCs w:val="18"/>
              </w:rPr>
              <w:t xml:space="preserve"> </w:t>
            </w:r>
            <w:r w:rsidR="009F18FD">
              <w:rPr>
                <w:sz w:val="18"/>
                <w:szCs w:val="18"/>
              </w:rPr>
              <w:t>is published</w:t>
            </w:r>
            <w:r w:rsidR="009D2EF7">
              <w:rPr>
                <w:sz w:val="18"/>
                <w:szCs w:val="18"/>
              </w:rPr>
              <w:t xml:space="preserve"> </w:t>
            </w:r>
            <w:r w:rsidR="009D2EF7" w:rsidRPr="00F25DFF">
              <w:rPr>
                <w:sz w:val="18"/>
                <w:szCs w:val="18"/>
              </w:rPr>
              <w:t xml:space="preserve">for the quarter preceding the quarter </w:t>
            </w:r>
            <w:r w:rsidR="009D2EF7">
              <w:rPr>
                <w:sz w:val="18"/>
                <w:szCs w:val="18"/>
              </w:rPr>
              <w:t>in which:</w:t>
            </w:r>
          </w:p>
          <w:p w14:paraId="0686F141" w14:textId="77777777" w:rsidR="0032678C" w:rsidRDefault="009D2EF7" w:rsidP="003E15AB">
            <w:pPr>
              <w:numPr>
                <w:ilvl w:val="7"/>
                <w:numId w:val="9"/>
              </w:numPr>
              <w:spacing w:before="40" w:after="40"/>
              <w:ind w:left="459"/>
              <w:rPr>
                <w:sz w:val="18"/>
                <w:szCs w:val="18"/>
              </w:rPr>
            </w:pPr>
            <w:r w:rsidRPr="003E15AB">
              <w:rPr>
                <w:sz w:val="18"/>
                <w:szCs w:val="18"/>
              </w:rPr>
              <w:t xml:space="preserve">if related to a Milestone </w:t>
            </w:r>
            <w:r w:rsidR="00D52D2F" w:rsidRPr="003E15AB">
              <w:rPr>
                <w:sz w:val="18"/>
                <w:szCs w:val="18"/>
              </w:rPr>
              <w:t>P</w:t>
            </w:r>
            <w:r w:rsidRPr="003E15AB">
              <w:rPr>
                <w:sz w:val="18"/>
                <w:szCs w:val="18"/>
              </w:rPr>
              <w:t>ayment, the Milestone was scheduled to occur;</w:t>
            </w:r>
          </w:p>
          <w:p w14:paraId="50C2BAD2" w14:textId="3E131495" w:rsidR="003837B3" w:rsidRPr="003E15AB" w:rsidRDefault="0032678C" w:rsidP="003E15AB">
            <w:pPr>
              <w:numPr>
                <w:ilvl w:val="7"/>
                <w:numId w:val="9"/>
              </w:numPr>
              <w:spacing w:before="40" w:after="40"/>
              <w:ind w:left="459"/>
              <w:rPr>
                <w:sz w:val="18"/>
                <w:szCs w:val="18"/>
              </w:rPr>
            </w:pPr>
            <w:r w:rsidRPr="00720D4B">
              <w:rPr>
                <w:b/>
                <w:i/>
                <w:sz w:val="18"/>
                <w:szCs w:val="18"/>
              </w:rPr>
              <w:t xml:space="preserve">(OPTIONAL) </w:t>
            </w:r>
            <w:r>
              <w:rPr>
                <w:sz w:val="18"/>
                <w:szCs w:val="18"/>
              </w:rPr>
              <w:t>if related to a Cost Reimbursement Payment, the due date by which the Cost Reimbursement Supplies were scheduled to be provided;</w:t>
            </w:r>
            <w:r w:rsidR="003837B3" w:rsidRPr="003E15AB">
              <w:rPr>
                <w:sz w:val="18"/>
                <w:szCs w:val="18"/>
              </w:rPr>
              <w:t xml:space="preserve"> or</w:t>
            </w:r>
          </w:p>
          <w:p w14:paraId="1FDD241B" w14:textId="19DF5162" w:rsidR="009D2EF7" w:rsidRPr="00F25DFF" w:rsidRDefault="00D45B6E" w:rsidP="009D2EF7">
            <w:pPr>
              <w:numPr>
                <w:ilvl w:val="7"/>
                <w:numId w:val="9"/>
              </w:numPr>
              <w:spacing w:before="40" w:after="40"/>
              <w:ind w:left="459"/>
              <w:rPr>
                <w:sz w:val="18"/>
                <w:szCs w:val="18"/>
              </w:rPr>
            </w:pPr>
            <w:r w:rsidRPr="00B52E8A">
              <w:rPr>
                <w:b/>
                <w:i/>
                <w:sz w:val="18"/>
                <w:szCs w:val="18"/>
              </w:rPr>
              <w:t>(OPTIONAL)</w:t>
            </w:r>
            <w:r>
              <w:rPr>
                <w:sz w:val="18"/>
                <w:szCs w:val="18"/>
              </w:rPr>
              <w:t xml:space="preserve"> </w:t>
            </w:r>
            <w:r w:rsidR="003837B3" w:rsidRPr="00720D4B">
              <w:rPr>
                <w:sz w:val="18"/>
                <w:szCs w:val="18"/>
              </w:rPr>
              <w:t>if related to the Mobil</w:t>
            </w:r>
            <w:r w:rsidR="003837B3">
              <w:rPr>
                <w:sz w:val="18"/>
                <w:szCs w:val="18"/>
              </w:rPr>
              <w:t>i</w:t>
            </w:r>
            <w:r w:rsidR="003837B3" w:rsidRPr="00720D4B">
              <w:rPr>
                <w:sz w:val="18"/>
                <w:szCs w:val="18"/>
              </w:rPr>
              <w:t>sation Payment</w:t>
            </w:r>
            <w:r w:rsidR="003837B3">
              <w:rPr>
                <w:sz w:val="18"/>
                <w:szCs w:val="18"/>
              </w:rPr>
              <w:t>, the date on which the Mobilisation Payment is made by the Commonwealth.</w:t>
            </w:r>
          </w:p>
        </w:tc>
      </w:tr>
      <w:tr w:rsidR="009D2EF7" w:rsidRPr="00F25DFF" w14:paraId="7A9E5282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1043AEA0" w14:textId="77777777" w:rsidR="009D2EF7" w:rsidRPr="00F25DFF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4D5A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7343" w:type="dxa"/>
            <w:shd w:val="clear" w:color="auto" w:fill="auto"/>
          </w:tcPr>
          <w:p w14:paraId="0F8EF6CA" w14:textId="7687EAF6" w:rsidR="009D2EF7" w:rsidRPr="00F25DFF" w:rsidRDefault="00F97EFA" w:rsidP="00A82581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</w:t>
            </w:r>
            <w:r w:rsidR="009F18FD">
              <w:rPr>
                <w:sz w:val="18"/>
                <w:szCs w:val="18"/>
              </w:rPr>
              <w:t>he</w:t>
            </w:r>
            <w:proofErr w:type="gramEnd"/>
            <w:r w:rsidR="009F18FD">
              <w:rPr>
                <w:sz w:val="18"/>
                <w:szCs w:val="18"/>
              </w:rPr>
              <w:t xml:space="preserve"> </w:t>
            </w:r>
            <w:r w:rsidR="00BB5A80">
              <w:rPr>
                <w:sz w:val="18"/>
                <w:szCs w:val="18"/>
              </w:rPr>
              <w:t xml:space="preserve">labour index </w:t>
            </w:r>
            <w:r w:rsidR="009F18FD">
              <w:rPr>
                <w:sz w:val="18"/>
                <w:szCs w:val="18"/>
              </w:rPr>
              <w:t xml:space="preserve">value (number) </w:t>
            </w:r>
            <w:r w:rsidR="001350A9">
              <w:rPr>
                <w:sz w:val="18"/>
                <w:szCs w:val="18"/>
              </w:rPr>
              <w:t xml:space="preserve">for a specific </w:t>
            </w:r>
            <w:r w:rsidR="009D2EF7" w:rsidRPr="008243B5">
              <w:rPr>
                <w:sz w:val="18"/>
                <w:szCs w:val="18"/>
              </w:rPr>
              <w:t xml:space="preserve">labour </w:t>
            </w:r>
            <w:r w:rsidR="009D2EF7" w:rsidRPr="00F25DFF">
              <w:rPr>
                <w:sz w:val="18"/>
                <w:szCs w:val="18"/>
              </w:rPr>
              <w:t>index</w:t>
            </w:r>
            <w:r w:rsidR="00BB5A80">
              <w:rPr>
                <w:sz w:val="18"/>
                <w:szCs w:val="18"/>
              </w:rPr>
              <w:t xml:space="preserve"> series</w:t>
            </w:r>
            <w:r w:rsidR="009D2EF7" w:rsidRPr="00F25DFF">
              <w:rPr>
                <w:sz w:val="18"/>
                <w:szCs w:val="18"/>
              </w:rPr>
              <w:t xml:space="preserve"> </w:t>
            </w:r>
            <w:r w:rsidR="001350A9">
              <w:rPr>
                <w:sz w:val="18"/>
                <w:szCs w:val="18"/>
              </w:rPr>
              <w:t>(L</w:t>
            </w:r>
            <w:r w:rsidR="001350A9" w:rsidRPr="00E37044">
              <w:rPr>
                <w:sz w:val="18"/>
                <w:szCs w:val="18"/>
                <w:vertAlign w:val="subscript"/>
              </w:rPr>
              <w:t>i</w:t>
            </w:r>
            <w:r w:rsidR="001350A9">
              <w:rPr>
                <w:sz w:val="18"/>
                <w:szCs w:val="18"/>
              </w:rPr>
              <w:t xml:space="preserve">) </w:t>
            </w:r>
            <w:r w:rsidR="009D2EF7" w:rsidRPr="00F25DFF">
              <w:rPr>
                <w:sz w:val="18"/>
                <w:szCs w:val="18"/>
              </w:rPr>
              <w:t xml:space="preserve">for the </w:t>
            </w:r>
            <w:r w:rsidR="00BB5A80">
              <w:rPr>
                <w:sz w:val="18"/>
                <w:szCs w:val="18"/>
              </w:rPr>
              <w:t xml:space="preserve">quarter preceding the </w:t>
            </w:r>
            <w:r w:rsidR="009D2EF7" w:rsidRPr="00F25DFF">
              <w:rPr>
                <w:sz w:val="18"/>
                <w:szCs w:val="18"/>
              </w:rPr>
              <w:t xml:space="preserve">quarter containing the </w:t>
            </w:r>
            <w:r w:rsidR="009D2EF7">
              <w:rPr>
                <w:sz w:val="18"/>
                <w:szCs w:val="18"/>
              </w:rPr>
              <w:t>Base Date.</w:t>
            </w:r>
          </w:p>
        </w:tc>
      </w:tr>
      <w:tr w:rsidR="009D2EF7" w:rsidRPr="00F25DFF" w14:paraId="172AA224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26D04F19" w14:textId="77777777" w:rsidR="009D2EF7" w:rsidRPr="00F25DFF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F25DFF">
              <w:rPr>
                <w:sz w:val="18"/>
                <w:szCs w:val="18"/>
              </w:rPr>
              <w:t>Z</w:t>
            </w:r>
            <w:r w:rsidRPr="00402291">
              <w:rPr>
                <w:sz w:val="18"/>
                <w:szCs w:val="18"/>
                <w:vertAlign w:val="subscript"/>
              </w:rPr>
              <w:t>k</w:t>
            </w:r>
            <w:proofErr w:type="spellEnd"/>
          </w:p>
        </w:tc>
        <w:tc>
          <w:tcPr>
            <w:tcW w:w="7343" w:type="dxa"/>
            <w:shd w:val="clear" w:color="auto" w:fill="auto"/>
          </w:tcPr>
          <w:p w14:paraId="20772DF4" w14:textId="7EC77E83" w:rsidR="009D2EF7" w:rsidRPr="00F25DFF" w:rsidRDefault="00F97EFA" w:rsidP="00BB5A80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the</w:t>
            </w:r>
            <w:proofErr w:type="gramEnd"/>
            <w:r w:rsidRPr="00F25DFF">
              <w:rPr>
                <w:sz w:val="18"/>
                <w:szCs w:val="18"/>
              </w:rPr>
              <w:t xml:space="preserve"> </w:t>
            </w:r>
            <w:r w:rsidR="009D2EF7" w:rsidRPr="00F25DFF">
              <w:rPr>
                <w:sz w:val="18"/>
                <w:szCs w:val="18"/>
              </w:rPr>
              <w:t>component</w:t>
            </w:r>
            <w:r w:rsidR="009D2EF7" w:rsidRPr="008243B5">
              <w:rPr>
                <w:sz w:val="18"/>
                <w:szCs w:val="18"/>
              </w:rPr>
              <w:t xml:space="preserve"> </w:t>
            </w:r>
            <w:r w:rsidR="00BB5A80">
              <w:rPr>
                <w:sz w:val="18"/>
                <w:szCs w:val="18"/>
              </w:rPr>
              <w:t>of the price</w:t>
            </w:r>
            <w:r w:rsidR="009D2EF7">
              <w:rPr>
                <w:sz w:val="18"/>
                <w:szCs w:val="18"/>
              </w:rPr>
              <w:t xml:space="preserve"> </w:t>
            </w:r>
            <w:r w:rsidR="009D2EF7" w:rsidRPr="008243B5">
              <w:rPr>
                <w:sz w:val="18"/>
                <w:szCs w:val="18"/>
              </w:rPr>
              <w:t xml:space="preserve">(expressed as a decimal) </w:t>
            </w:r>
            <w:r>
              <w:rPr>
                <w:sz w:val="18"/>
                <w:szCs w:val="18"/>
              </w:rPr>
              <w:t xml:space="preserve">that is attributed to </w:t>
            </w:r>
            <w:r w:rsidR="009D2EF7">
              <w:rPr>
                <w:sz w:val="18"/>
                <w:szCs w:val="18"/>
              </w:rPr>
              <w:t xml:space="preserve">a materials index </w:t>
            </w:r>
            <w:r w:rsidR="0032678C">
              <w:rPr>
                <w:sz w:val="18"/>
                <w:szCs w:val="18"/>
              </w:rPr>
              <w:t xml:space="preserve">series </w:t>
            </w:r>
            <w:r w:rsidR="009D2EF7">
              <w:rPr>
                <w:sz w:val="18"/>
                <w:szCs w:val="18"/>
              </w:rPr>
              <w:t>(M</w:t>
            </w:r>
            <w:r w:rsidR="009D2EF7" w:rsidRPr="00776500">
              <w:rPr>
                <w:sz w:val="18"/>
                <w:szCs w:val="18"/>
                <w:vertAlign w:val="subscript"/>
              </w:rPr>
              <w:t>k</w:t>
            </w:r>
            <w:r w:rsidR="009D2EF7">
              <w:rPr>
                <w:sz w:val="18"/>
                <w:szCs w:val="18"/>
              </w:rPr>
              <w:t>)</w:t>
            </w:r>
            <w:r w:rsidR="00BB5A8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BB5A80">
              <w:rPr>
                <w:sz w:val="18"/>
                <w:szCs w:val="18"/>
              </w:rPr>
              <w:t xml:space="preserve"> A</w:t>
            </w:r>
            <w:r>
              <w:rPr>
                <w:sz w:val="18"/>
                <w:szCs w:val="18"/>
              </w:rPr>
              <w:t xml:space="preserve"> materials index </w:t>
            </w:r>
            <w:r w:rsidR="00BB5A80">
              <w:rPr>
                <w:sz w:val="18"/>
                <w:szCs w:val="18"/>
              </w:rPr>
              <w:t xml:space="preserve">series </w:t>
            </w:r>
            <w:r>
              <w:rPr>
                <w:sz w:val="18"/>
                <w:szCs w:val="18"/>
              </w:rPr>
              <w:t>tracks price variations</w:t>
            </w:r>
            <w:r w:rsidR="009D2EF7">
              <w:rPr>
                <w:sz w:val="18"/>
                <w:szCs w:val="18"/>
              </w:rPr>
              <w:t xml:space="preserve"> for a </w:t>
            </w:r>
            <w:r>
              <w:rPr>
                <w:sz w:val="18"/>
                <w:szCs w:val="18"/>
              </w:rPr>
              <w:t xml:space="preserve">category of materials in a </w:t>
            </w:r>
            <w:r w:rsidR="009D2EF7">
              <w:rPr>
                <w:sz w:val="18"/>
                <w:szCs w:val="18"/>
              </w:rPr>
              <w:t>particular currency.</w:t>
            </w:r>
          </w:p>
        </w:tc>
      </w:tr>
      <w:tr w:rsidR="009D2EF7" w:rsidRPr="00F25DFF" w14:paraId="7658F482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599AF0E7" w14:textId="51500B8A" w:rsidR="009D2EF7" w:rsidRPr="00F25DFF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8243B5">
              <w:rPr>
                <w:sz w:val="18"/>
                <w:szCs w:val="18"/>
              </w:rPr>
              <w:t>M</w:t>
            </w:r>
            <w:r w:rsidR="004B1169">
              <w:rPr>
                <w:sz w:val="18"/>
                <w:szCs w:val="18"/>
                <w:vertAlign w:val="subscript"/>
              </w:rPr>
              <w:t>n</w:t>
            </w:r>
            <w:proofErr w:type="spellEnd"/>
          </w:p>
        </w:tc>
        <w:tc>
          <w:tcPr>
            <w:tcW w:w="7343" w:type="dxa"/>
            <w:shd w:val="clear" w:color="auto" w:fill="auto"/>
          </w:tcPr>
          <w:p w14:paraId="29B96D88" w14:textId="22984E2D" w:rsidR="0032678C" w:rsidRDefault="0032678C" w:rsidP="0032678C">
            <w:pPr>
              <w:pStyle w:val="NoteToDrafters-ASDEFCON"/>
            </w:pPr>
            <w:r>
              <w:t>Note to drafters:  If Cost Reimbursement is not used, remove the subparagraph b below and</w:t>
            </w:r>
            <w:r w:rsidR="00BB5A80">
              <w:t>/or if a Mobilisation Payment will not be considered for the Contract, remove</w:t>
            </w:r>
            <w:r>
              <w:t xml:space="preserve"> subparagraph c </w:t>
            </w:r>
            <w:r w:rsidR="00BB5A80">
              <w:t>below.  In either case, amend the description as appropriate</w:t>
            </w:r>
            <w:r>
              <w:t>.</w:t>
            </w:r>
          </w:p>
          <w:p w14:paraId="2818C61B" w14:textId="087F770C" w:rsidR="009D2EF7" w:rsidRDefault="0080703E" w:rsidP="00E12F3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</w:t>
            </w:r>
            <w:r w:rsidR="00BB5A80">
              <w:rPr>
                <w:sz w:val="18"/>
                <w:szCs w:val="18"/>
              </w:rPr>
              <w:t xml:space="preserve">materials index </w:t>
            </w:r>
            <w:r w:rsidR="004B1169">
              <w:rPr>
                <w:sz w:val="18"/>
                <w:szCs w:val="18"/>
              </w:rPr>
              <w:t>value (</w:t>
            </w:r>
            <w:r w:rsidR="009D2EF7" w:rsidRPr="008243B5">
              <w:rPr>
                <w:sz w:val="18"/>
                <w:szCs w:val="18"/>
              </w:rPr>
              <w:t>number</w:t>
            </w:r>
            <w:r w:rsidR="004B1169">
              <w:rPr>
                <w:sz w:val="18"/>
                <w:szCs w:val="18"/>
              </w:rPr>
              <w:t>)</w:t>
            </w:r>
            <w:r w:rsidR="009D2EF7">
              <w:rPr>
                <w:sz w:val="18"/>
                <w:szCs w:val="18"/>
              </w:rPr>
              <w:t xml:space="preserve"> </w:t>
            </w:r>
            <w:r w:rsidR="004B1169">
              <w:rPr>
                <w:sz w:val="18"/>
                <w:szCs w:val="18"/>
              </w:rPr>
              <w:t xml:space="preserve">for a materials index </w:t>
            </w:r>
            <w:r w:rsidR="00BB5A80">
              <w:rPr>
                <w:sz w:val="18"/>
                <w:szCs w:val="18"/>
              </w:rPr>
              <w:t xml:space="preserve">series </w:t>
            </w:r>
            <w:r w:rsidR="004B1169">
              <w:rPr>
                <w:sz w:val="18"/>
                <w:szCs w:val="18"/>
              </w:rPr>
              <w:t>(M</w:t>
            </w:r>
            <w:r w:rsidR="004B1169" w:rsidRPr="00776500">
              <w:rPr>
                <w:sz w:val="18"/>
                <w:szCs w:val="18"/>
                <w:vertAlign w:val="subscript"/>
              </w:rPr>
              <w:t>k</w:t>
            </w:r>
            <w:r w:rsidR="004B1169">
              <w:rPr>
                <w:sz w:val="18"/>
                <w:szCs w:val="18"/>
              </w:rPr>
              <w:t xml:space="preserve">), which </w:t>
            </w:r>
            <w:r w:rsidR="009D2EF7">
              <w:rPr>
                <w:sz w:val="18"/>
                <w:szCs w:val="18"/>
              </w:rPr>
              <w:t xml:space="preserve">(as required by clause </w:t>
            </w:r>
            <w:r w:rsidR="009D2EF7">
              <w:rPr>
                <w:sz w:val="18"/>
                <w:szCs w:val="18"/>
              </w:rPr>
              <w:fldChar w:fldCharType="begin"/>
            </w:r>
            <w:r w:rsidR="009D2EF7">
              <w:rPr>
                <w:sz w:val="18"/>
                <w:szCs w:val="18"/>
              </w:rPr>
              <w:instrText xml:space="preserve"> REF _Ref75164178 \r \h </w:instrText>
            </w:r>
            <w:r w:rsidR="009D2EF7">
              <w:rPr>
                <w:sz w:val="18"/>
                <w:szCs w:val="18"/>
              </w:rPr>
            </w:r>
            <w:r w:rsidR="009D2EF7">
              <w:rPr>
                <w:sz w:val="18"/>
                <w:szCs w:val="18"/>
              </w:rPr>
              <w:fldChar w:fldCharType="separate"/>
            </w:r>
            <w:r w:rsidR="00006AF2">
              <w:rPr>
                <w:sz w:val="18"/>
                <w:szCs w:val="18"/>
              </w:rPr>
              <w:t>4.1.1b</w:t>
            </w:r>
            <w:r w:rsidR="009D2EF7">
              <w:rPr>
                <w:sz w:val="18"/>
                <w:szCs w:val="18"/>
              </w:rPr>
              <w:fldChar w:fldCharType="end"/>
            </w:r>
            <w:r w:rsidR="009D2EF7">
              <w:rPr>
                <w:sz w:val="18"/>
                <w:szCs w:val="18"/>
              </w:rPr>
              <w:t xml:space="preserve"> above) </w:t>
            </w:r>
            <w:r w:rsidR="004B1169">
              <w:rPr>
                <w:sz w:val="18"/>
                <w:szCs w:val="18"/>
              </w:rPr>
              <w:t xml:space="preserve">is published </w:t>
            </w:r>
            <w:r w:rsidR="009D2EF7" w:rsidRPr="008243B5">
              <w:rPr>
                <w:sz w:val="18"/>
                <w:szCs w:val="18"/>
              </w:rPr>
              <w:t xml:space="preserve">for the quarter preceding the quarter </w:t>
            </w:r>
            <w:r w:rsidR="009D2EF7">
              <w:rPr>
                <w:sz w:val="18"/>
                <w:szCs w:val="18"/>
              </w:rPr>
              <w:t>in which:</w:t>
            </w:r>
          </w:p>
          <w:p w14:paraId="6675F6A5" w14:textId="77777777" w:rsidR="0032678C" w:rsidRDefault="009D2EF7" w:rsidP="003E15AB">
            <w:pPr>
              <w:numPr>
                <w:ilvl w:val="7"/>
                <w:numId w:val="68"/>
              </w:numPr>
              <w:spacing w:before="40" w:after="40"/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if related to a Milestone </w:t>
            </w:r>
            <w:r w:rsidR="00D27F41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ayment, the Milestone was scheduled to occur;</w:t>
            </w:r>
          </w:p>
          <w:p w14:paraId="0E48C0CF" w14:textId="42DAD20F" w:rsidR="00720D4B" w:rsidRDefault="0032678C" w:rsidP="003E15AB">
            <w:pPr>
              <w:numPr>
                <w:ilvl w:val="7"/>
                <w:numId w:val="68"/>
              </w:numPr>
              <w:spacing w:before="40" w:after="40"/>
              <w:ind w:left="459"/>
              <w:rPr>
                <w:sz w:val="18"/>
                <w:szCs w:val="18"/>
              </w:rPr>
            </w:pPr>
            <w:r w:rsidRPr="00720D4B">
              <w:rPr>
                <w:b/>
                <w:i/>
                <w:sz w:val="18"/>
                <w:szCs w:val="18"/>
              </w:rPr>
              <w:t>(OPTIONAL)</w:t>
            </w:r>
            <w:r>
              <w:rPr>
                <w:sz w:val="18"/>
                <w:szCs w:val="18"/>
              </w:rPr>
              <w:t xml:space="preserve"> if related to a Cost Reimbursement Payment, the due date by which the Cost Reimbursement Supplies were scheduled to be provided;</w:t>
            </w:r>
            <w:r w:rsidR="00720D4B">
              <w:rPr>
                <w:sz w:val="18"/>
                <w:szCs w:val="18"/>
              </w:rPr>
              <w:t xml:space="preserve"> or</w:t>
            </w:r>
          </w:p>
          <w:p w14:paraId="6E2E03E9" w14:textId="26EF6C22" w:rsidR="009D2EF7" w:rsidRPr="00720D4B" w:rsidRDefault="00BB5A80" w:rsidP="00720D4B">
            <w:pPr>
              <w:numPr>
                <w:ilvl w:val="7"/>
                <w:numId w:val="68"/>
              </w:numPr>
              <w:spacing w:before="40" w:after="40"/>
              <w:ind w:left="459"/>
              <w:rPr>
                <w:sz w:val="18"/>
                <w:szCs w:val="18"/>
              </w:rPr>
            </w:pPr>
            <w:r w:rsidRPr="008006A4">
              <w:rPr>
                <w:b/>
                <w:i/>
                <w:sz w:val="18"/>
                <w:szCs w:val="18"/>
              </w:rPr>
              <w:t>(OPTIONAL)</w:t>
            </w:r>
            <w:r>
              <w:rPr>
                <w:sz w:val="18"/>
                <w:szCs w:val="18"/>
              </w:rPr>
              <w:t xml:space="preserve"> </w:t>
            </w:r>
            <w:r w:rsidR="00720D4B" w:rsidRPr="00720D4B">
              <w:rPr>
                <w:sz w:val="18"/>
                <w:szCs w:val="18"/>
              </w:rPr>
              <w:t>if related to the Mobil</w:t>
            </w:r>
            <w:r w:rsidR="00720D4B">
              <w:rPr>
                <w:sz w:val="18"/>
                <w:szCs w:val="18"/>
              </w:rPr>
              <w:t>i</w:t>
            </w:r>
            <w:r w:rsidR="00720D4B" w:rsidRPr="00720D4B">
              <w:rPr>
                <w:sz w:val="18"/>
                <w:szCs w:val="18"/>
              </w:rPr>
              <w:t>sation Payment</w:t>
            </w:r>
            <w:r w:rsidR="003837B3">
              <w:rPr>
                <w:sz w:val="18"/>
                <w:szCs w:val="18"/>
              </w:rPr>
              <w:t>, the date on which the Mobilisation Payment is made by the Commonwealth.</w:t>
            </w:r>
          </w:p>
        </w:tc>
      </w:tr>
      <w:tr w:rsidR="009D2EF7" w:rsidRPr="00F25DFF" w14:paraId="04705283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4DA90A99" w14:textId="77777777" w:rsidR="009D2EF7" w:rsidRPr="00F25DFF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8243B5">
              <w:rPr>
                <w:sz w:val="18"/>
                <w:szCs w:val="18"/>
              </w:rPr>
              <w:t>M</w:t>
            </w:r>
            <w:r w:rsidRPr="00E37044">
              <w:rPr>
                <w:sz w:val="18"/>
                <w:szCs w:val="18"/>
                <w:vertAlign w:val="subscript"/>
              </w:rPr>
              <w:t>o</w:t>
            </w:r>
          </w:p>
        </w:tc>
        <w:tc>
          <w:tcPr>
            <w:tcW w:w="7343" w:type="dxa"/>
            <w:shd w:val="clear" w:color="auto" w:fill="auto"/>
          </w:tcPr>
          <w:p w14:paraId="690874A8" w14:textId="7E1FCB23" w:rsidR="009D2EF7" w:rsidRPr="00F25DFF" w:rsidRDefault="004B1169" w:rsidP="00C0491B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the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C0491B">
              <w:rPr>
                <w:sz w:val="18"/>
                <w:szCs w:val="18"/>
              </w:rPr>
              <w:t xml:space="preserve">materials index </w:t>
            </w:r>
            <w:r>
              <w:rPr>
                <w:sz w:val="18"/>
                <w:szCs w:val="18"/>
              </w:rPr>
              <w:t xml:space="preserve">value (number) for a </w:t>
            </w:r>
            <w:r w:rsidR="009D2EF7" w:rsidRPr="008243B5">
              <w:rPr>
                <w:sz w:val="18"/>
                <w:szCs w:val="18"/>
              </w:rPr>
              <w:t xml:space="preserve">materials index </w:t>
            </w:r>
            <w:r w:rsidR="00C0491B">
              <w:rPr>
                <w:sz w:val="18"/>
                <w:szCs w:val="18"/>
              </w:rPr>
              <w:t xml:space="preserve">series </w:t>
            </w:r>
            <w:r w:rsidR="00F121CA">
              <w:rPr>
                <w:sz w:val="18"/>
                <w:szCs w:val="18"/>
              </w:rPr>
              <w:t>(M</w:t>
            </w:r>
            <w:r w:rsidR="00F121CA" w:rsidRPr="00776500">
              <w:rPr>
                <w:sz w:val="18"/>
                <w:szCs w:val="18"/>
                <w:vertAlign w:val="subscript"/>
              </w:rPr>
              <w:t>k</w:t>
            </w:r>
            <w:r w:rsidR="00F121CA">
              <w:rPr>
                <w:sz w:val="18"/>
                <w:szCs w:val="18"/>
              </w:rPr>
              <w:t>)</w:t>
            </w:r>
            <w:r w:rsidR="00C0491B">
              <w:rPr>
                <w:sz w:val="18"/>
                <w:szCs w:val="18"/>
              </w:rPr>
              <w:t>,</w:t>
            </w:r>
            <w:r w:rsidR="00F121CA">
              <w:rPr>
                <w:sz w:val="18"/>
                <w:szCs w:val="18"/>
              </w:rPr>
              <w:t xml:space="preserve"> </w:t>
            </w:r>
            <w:r w:rsidR="00C0491B">
              <w:rPr>
                <w:sz w:val="18"/>
                <w:szCs w:val="18"/>
              </w:rPr>
              <w:t xml:space="preserve">as published </w:t>
            </w:r>
            <w:r w:rsidR="009D2EF7" w:rsidRPr="008243B5">
              <w:rPr>
                <w:sz w:val="18"/>
                <w:szCs w:val="18"/>
              </w:rPr>
              <w:t xml:space="preserve">for the </w:t>
            </w:r>
            <w:r w:rsidR="00C0491B">
              <w:rPr>
                <w:sz w:val="18"/>
                <w:szCs w:val="18"/>
              </w:rPr>
              <w:t xml:space="preserve">quarter preceding the </w:t>
            </w:r>
            <w:r w:rsidR="009D2EF7" w:rsidRPr="008243B5">
              <w:rPr>
                <w:sz w:val="18"/>
                <w:szCs w:val="18"/>
              </w:rPr>
              <w:t xml:space="preserve">quarter containing the </w:t>
            </w:r>
            <w:r w:rsidR="009D2EF7">
              <w:rPr>
                <w:sz w:val="18"/>
                <w:szCs w:val="18"/>
              </w:rPr>
              <w:t>Base Date.</w:t>
            </w:r>
          </w:p>
        </w:tc>
      </w:tr>
      <w:tr w:rsidR="009D2EF7" w:rsidRPr="00F25DFF" w14:paraId="285B0539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641A1A45" w14:textId="77777777" w:rsidR="009D2EF7" w:rsidRPr="008243B5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</w:p>
        </w:tc>
        <w:tc>
          <w:tcPr>
            <w:tcW w:w="7343" w:type="dxa"/>
            <w:shd w:val="clear" w:color="auto" w:fill="auto"/>
          </w:tcPr>
          <w:p w14:paraId="586EA920" w14:textId="1EFD210B" w:rsidR="009D2EF7" w:rsidRPr="008243B5" w:rsidRDefault="009D2EF7" w:rsidP="00C0491B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is</w:t>
            </w:r>
            <w:proofErr w:type="gramEnd"/>
            <w:r>
              <w:rPr>
                <w:sz w:val="18"/>
                <w:szCs w:val="18"/>
              </w:rPr>
              <w:t xml:space="preserve"> a number that identifies the labour component (Y</w:t>
            </w:r>
            <w:r w:rsidRPr="00E538C0">
              <w:rPr>
                <w:sz w:val="18"/>
                <w:szCs w:val="18"/>
                <w:vertAlign w:val="subscript"/>
              </w:rPr>
              <w:t>i</w:t>
            </w:r>
            <w:r>
              <w:rPr>
                <w:sz w:val="18"/>
                <w:szCs w:val="18"/>
              </w:rPr>
              <w:t xml:space="preserve">) </w:t>
            </w:r>
            <w:r w:rsidR="00C0491B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 xml:space="preserve">the associated labour index </w:t>
            </w:r>
            <w:r w:rsidR="00C0491B">
              <w:rPr>
                <w:sz w:val="18"/>
                <w:szCs w:val="18"/>
              </w:rPr>
              <w:t xml:space="preserve">series </w:t>
            </w:r>
            <w:r>
              <w:rPr>
                <w:sz w:val="18"/>
                <w:szCs w:val="18"/>
              </w:rPr>
              <w:t>(L</w:t>
            </w:r>
            <w:r w:rsidRPr="00E538C0">
              <w:rPr>
                <w:sz w:val="18"/>
                <w:szCs w:val="18"/>
                <w:vertAlign w:val="subscript"/>
              </w:rPr>
              <w:t>i</w:t>
            </w:r>
            <w:r>
              <w:rPr>
                <w:sz w:val="18"/>
                <w:szCs w:val="18"/>
              </w:rPr>
              <w:t xml:space="preserve">) </w:t>
            </w:r>
            <w:r w:rsidR="00F121CA">
              <w:rPr>
                <w:sz w:val="18"/>
                <w:szCs w:val="18"/>
              </w:rPr>
              <w:t xml:space="preserve">in </w:t>
            </w:r>
            <w:r w:rsidR="00C0491B">
              <w:rPr>
                <w:sz w:val="18"/>
                <w:szCs w:val="18"/>
              </w:rPr>
              <w:t>A</w:t>
            </w:r>
            <w:r w:rsidR="00F121CA">
              <w:rPr>
                <w:sz w:val="18"/>
                <w:szCs w:val="18"/>
              </w:rPr>
              <w:t>nnex</w:t>
            </w:r>
            <w:r>
              <w:rPr>
                <w:sz w:val="18"/>
                <w:szCs w:val="18"/>
              </w:rPr>
              <w:t xml:space="preserve"> </w:t>
            </w:r>
            <w:r w:rsidR="00C0491B">
              <w:rPr>
                <w:sz w:val="18"/>
                <w:szCs w:val="18"/>
              </w:rPr>
              <w:t xml:space="preserve">C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eg</w:t>
            </w:r>
            <w:proofErr w:type="spellEnd"/>
            <w:r>
              <w:rPr>
                <w:sz w:val="18"/>
                <w:szCs w:val="18"/>
              </w:rPr>
              <w:t xml:space="preserve">, if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=1, Y</w:t>
            </w:r>
            <w:r w:rsidRPr="00E538C0">
              <w:rPr>
                <w:sz w:val="18"/>
                <w:szCs w:val="18"/>
                <w:vertAlign w:val="subscript"/>
              </w:rPr>
              <w:t>i</w:t>
            </w:r>
            <w:r>
              <w:rPr>
                <w:sz w:val="18"/>
                <w:szCs w:val="18"/>
              </w:rPr>
              <w:t>=Y</w:t>
            </w:r>
            <w:r w:rsidRPr="00E538C0">
              <w:rPr>
                <w:sz w:val="18"/>
                <w:szCs w:val="18"/>
                <w:vertAlign w:val="subscript"/>
              </w:rPr>
              <w:t>1</w:t>
            </w:r>
            <w:r>
              <w:rPr>
                <w:sz w:val="18"/>
                <w:szCs w:val="18"/>
              </w:rPr>
              <w:t xml:space="preserve"> and L</w:t>
            </w:r>
            <w:r w:rsidRPr="00E538C0">
              <w:rPr>
                <w:sz w:val="18"/>
                <w:szCs w:val="18"/>
                <w:vertAlign w:val="subscript"/>
              </w:rPr>
              <w:t>i</w:t>
            </w:r>
            <w:r>
              <w:rPr>
                <w:sz w:val="18"/>
                <w:szCs w:val="18"/>
              </w:rPr>
              <w:t>=L</w:t>
            </w:r>
            <w:r w:rsidRPr="00E538C0">
              <w:rPr>
                <w:sz w:val="18"/>
                <w:szCs w:val="18"/>
                <w:vertAlign w:val="subscript"/>
              </w:rPr>
              <w:t>1</w:t>
            </w:r>
            <w:r>
              <w:rPr>
                <w:sz w:val="18"/>
                <w:szCs w:val="18"/>
              </w:rPr>
              <w:t>).</w:t>
            </w:r>
          </w:p>
        </w:tc>
      </w:tr>
      <w:tr w:rsidR="009D2EF7" w:rsidRPr="00F25DFF" w14:paraId="0D5879BC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46E411F4" w14:textId="2CA694A6" w:rsidR="009D2EF7" w:rsidRDefault="000E2E9F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</w:p>
        </w:tc>
        <w:tc>
          <w:tcPr>
            <w:tcW w:w="7343" w:type="dxa"/>
            <w:shd w:val="clear" w:color="auto" w:fill="auto"/>
          </w:tcPr>
          <w:p w14:paraId="3691AAF6" w14:textId="7D46F037" w:rsidR="009D2EF7" w:rsidRDefault="00F121CA" w:rsidP="00B52E8A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is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9D2EF7">
              <w:rPr>
                <w:sz w:val="18"/>
                <w:szCs w:val="18"/>
              </w:rPr>
              <w:t>the number of labour ind</w:t>
            </w:r>
            <w:r>
              <w:rPr>
                <w:sz w:val="18"/>
                <w:szCs w:val="18"/>
              </w:rPr>
              <w:t>ic</w:t>
            </w:r>
            <w:r w:rsidR="009D2EF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  <w:r w:rsidR="009D2E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 </w:t>
            </w:r>
            <w:r w:rsidR="009D2EF7">
              <w:rPr>
                <w:sz w:val="18"/>
                <w:szCs w:val="18"/>
              </w:rPr>
              <w:t xml:space="preserve">a </w:t>
            </w:r>
            <w:r w:rsidR="005A3915">
              <w:rPr>
                <w:sz w:val="18"/>
                <w:szCs w:val="18"/>
              </w:rPr>
              <w:t xml:space="preserve">price adjustment formula </w:t>
            </w:r>
            <w:r w:rsidR="009D2EF7">
              <w:rPr>
                <w:sz w:val="18"/>
                <w:szCs w:val="18"/>
              </w:rPr>
              <w:t>(</w:t>
            </w:r>
            <w:proofErr w:type="spellStart"/>
            <w:r w:rsidR="009D2EF7">
              <w:rPr>
                <w:sz w:val="18"/>
                <w:szCs w:val="18"/>
              </w:rPr>
              <w:t>eg</w:t>
            </w:r>
            <w:proofErr w:type="spellEnd"/>
            <w:r w:rsidR="009D2EF7">
              <w:rPr>
                <w:sz w:val="18"/>
                <w:szCs w:val="18"/>
              </w:rPr>
              <w:t xml:space="preserve">, if </w:t>
            </w:r>
            <w:r w:rsidR="000E2E9F">
              <w:rPr>
                <w:sz w:val="18"/>
                <w:szCs w:val="18"/>
              </w:rPr>
              <w:t>q</w:t>
            </w:r>
            <w:r w:rsidR="009D2EF7">
              <w:rPr>
                <w:sz w:val="18"/>
                <w:szCs w:val="18"/>
              </w:rPr>
              <w:t>=3, there are three labour ind</w:t>
            </w:r>
            <w:r w:rsidR="00C0491B">
              <w:rPr>
                <w:sz w:val="18"/>
                <w:szCs w:val="18"/>
              </w:rPr>
              <w:t>ex series</w:t>
            </w:r>
            <w:r w:rsidR="009D2EF7">
              <w:rPr>
                <w:sz w:val="18"/>
                <w:szCs w:val="18"/>
              </w:rPr>
              <w:t xml:space="preserve"> (L</w:t>
            </w:r>
            <w:r w:rsidR="009D2EF7" w:rsidRPr="00E538C0">
              <w:rPr>
                <w:sz w:val="18"/>
                <w:szCs w:val="18"/>
                <w:vertAlign w:val="subscript"/>
              </w:rPr>
              <w:t>i</w:t>
            </w:r>
            <w:r w:rsidR="009D2EF7">
              <w:rPr>
                <w:sz w:val="18"/>
                <w:szCs w:val="18"/>
              </w:rPr>
              <w:t xml:space="preserve">) </w:t>
            </w:r>
            <w:r w:rsidR="005A3915">
              <w:rPr>
                <w:sz w:val="18"/>
                <w:szCs w:val="18"/>
              </w:rPr>
              <w:t>with</w:t>
            </w:r>
            <w:r w:rsidR="009D2EF7">
              <w:rPr>
                <w:sz w:val="18"/>
                <w:szCs w:val="18"/>
              </w:rPr>
              <w:t xml:space="preserve"> three</w:t>
            </w:r>
            <w:r w:rsidR="005A3915">
              <w:rPr>
                <w:sz w:val="18"/>
                <w:szCs w:val="18"/>
              </w:rPr>
              <w:t xml:space="preserve"> related</w:t>
            </w:r>
            <w:r w:rsidR="009D2EF7">
              <w:rPr>
                <w:sz w:val="18"/>
                <w:szCs w:val="18"/>
              </w:rPr>
              <w:t xml:space="preserve"> </w:t>
            </w:r>
            <w:r w:rsidR="00C0491B">
              <w:rPr>
                <w:sz w:val="18"/>
                <w:szCs w:val="18"/>
              </w:rPr>
              <w:t xml:space="preserve">component </w:t>
            </w:r>
            <w:r w:rsidR="001715FB">
              <w:rPr>
                <w:sz w:val="18"/>
                <w:szCs w:val="18"/>
              </w:rPr>
              <w:t>weightings</w:t>
            </w:r>
            <w:r w:rsidR="005A3915">
              <w:rPr>
                <w:sz w:val="18"/>
                <w:szCs w:val="18"/>
              </w:rPr>
              <w:t xml:space="preserve"> </w:t>
            </w:r>
            <w:r w:rsidR="009D2EF7">
              <w:rPr>
                <w:sz w:val="18"/>
                <w:szCs w:val="18"/>
              </w:rPr>
              <w:t>(</w:t>
            </w:r>
            <w:proofErr w:type="spellStart"/>
            <w:r w:rsidR="009D2EF7">
              <w:rPr>
                <w:sz w:val="18"/>
                <w:szCs w:val="18"/>
              </w:rPr>
              <w:t>Y</w:t>
            </w:r>
            <w:r w:rsidR="005A3915">
              <w:rPr>
                <w:sz w:val="18"/>
                <w:szCs w:val="18"/>
                <w:vertAlign w:val="subscript"/>
              </w:rPr>
              <w:t>n</w:t>
            </w:r>
            <w:proofErr w:type="spellEnd"/>
            <w:r w:rsidR="009D2EF7">
              <w:rPr>
                <w:sz w:val="18"/>
                <w:szCs w:val="18"/>
              </w:rPr>
              <w:t>)</w:t>
            </w:r>
            <w:r w:rsidR="00C0491B">
              <w:rPr>
                <w:sz w:val="18"/>
                <w:szCs w:val="18"/>
              </w:rPr>
              <w:t xml:space="preserve"> identified in Annex C)</w:t>
            </w:r>
            <w:r w:rsidR="009D2EF7">
              <w:rPr>
                <w:sz w:val="18"/>
                <w:szCs w:val="18"/>
              </w:rPr>
              <w:t>.</w:t>
            </w:r>
          </w:p>
        </w:tc>
      </w:tr>
      <w:tr w:rsidR="009D2EF7" w:rsidRPr="00F25DFF" w14:paraId="315E330E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1642D706" w14:textId="77777777" w:rsidR="009D2EF7" w:rsidRPr="008243B5" w:rsidRDefault="009D2EF7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</w:p>
        </w:tc>
        <w:tc>
          <w:tcPr>
            <w:tcW w:w="7343" w:type="dxa"/>
            <w:shd w:val="clear" w:color="auto" w:fill="auto"/>
          </w:tcPr>
          <w:p w14:paraId="1D3FBDB9" w14:textId="17067123" w:rsidR="009D2EF7" w:rsidRPr="008243B5" w:rsidRDefault="009D2EF7" w:rsidP="00C0491B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is</w:t>
            </w:r>
            <w:proofErr w:type="gramEnd"/>
            <w:r>
              <w:rPr>
                <w:sz w:val="18"/>
                <w:szCs w:val="18"/>
              </w:rPr>
              <w:t xml:space="preserve"> a number that identifies the materials component (</w:t>
            </w:r>
            <w:proofErr w:type="spellStart"/>
            <w:r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  <w:r w:rsidR="00C0491B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 xml:space="preserve">the associated materials index </w:t>
            </w:r>
            <w:r w:rsidR="00C0491B">
              <w:rPr>
                <w:sz w:val="18"/>
                <w:szCs w:val="18"/>
              </w:rPr>
              <w:t xml:space="preserve">series </w:t>
            </w: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bscript"/>
              </w:rPr>
              <w:t>k</w:t>
            </w:r>
            <w:r>
              <w:rPr>
                <w:sz w:val="18"/>
                <w:szCs w:val="18"/>
              </w:rPr>
              <w:t xml:space="preserve">) </w:t>
            </w:r>
            <w:r w:rsidR="004119D5">
              <w:rPr>
                <w:sz w:val="18"/>
                <w:szCs w:val="18"/>
              </w:rPr>
              <w:t xml:space="preserve">in </w:t>
            </w:r>
            <w:r w:rsidR="00C0491B">
              <w:rPr>
                <w:sz w:val="18"/>
                <w:szCs w:val="18"/>
              </w:rPr>
              <w:t>A</w:t>
            </w:r>
            <w:r w:rsidR="004119D5">
              <w:rPr>
                <w:sz w:val="18"/>
                <w:szCs w:val="18"/>
              </w:rPr>
              <w:t>nnex</w:t>
            </w:r>
            <w:r>
              <w:rPr>
                <w:sz w:val="18"/>
                <w:szCs w:val="18"/>
              </w:rPr>
              <w:t xml:space="preserve"> </w:t>
            </w:r>
            <w:r w:rsidR="00C0491B">
              <w:rPr>
                <w:sz w:val="18"/>
                <w:szCs w:val="18"/>
              </w:rPr>
              <w:t xml:space="preserve">C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eg</w:t>
            </w:r>
            <w:proofErr w:type="spellEnd"/>
            <w:r>
              <w:rPr>
                <w:sz w:val="18"/>
                <w:szCs w:val="18"/>
              </w:rPr>
              <w:t xml:space="preserve">, if k=2, </w:t>
            </w:r>
            <w:proofErr w:type="spellStart"/>
            <w:r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sz w:val="18"/>
                <w:szCs w:val="18"/>
              </w:rPr>
              <w:t>=Z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 xml:space="preserve"> and M</w:t>
            </w:r>
            <w:r>
              <w:rPr>
                <w:sz w:val="18"/>
                <w:szCs w:val="18"/>
                <w:vertAlign w:val="subscript"/>
              </w:rPr>
              <w:t>k</w:t>
            </w:r>
            <w:r>
              <w:rPr>
                <w:sz w:val="18"/>
                <w:szCs w:val="18"/>
              </w:rPr>
              <w:t>=M</w:t>
            </w:r>
            <w:r>
              <w:rPr>
                <w:sz w:val="18"/>
                <w:szCs w:val="18"/>
                <w:vertAlign w:val="subscript"/>
              </w:rPr>
              <w:t>2</w:t>
            </w:r>
            <w:r>
              <w:rPr>
                <w:sz w:val="18"/>
                <w:szCs w:val="18"/>
              </w:rPr>
              <w:t>).</w:t>
            </w:r>
          </w:p>
        </w:tc>
      </w:tr>
      <w:tr w:rsidR="009D2EF7" w:rsidRPr="00F25DFF" w14:paraId="6E0C2F80" w14:textId="77777777" w:rsidTr="00B52E8A">
        <w:trPr>
          <w:cantSplit/>
        </w:trPr>
        <w:tc>
          <w:tcPr>
            <w:tcW w:w="708" w:type="dxa"/>
            <w:shd w:val="clear" w:color="auto" w:fill="auto"/>
          </w:tcPr>
          <w:p w14:paraId="05D9798E" w14:textId="3404206D" w:rsidR="009D2EF7" w:rsidRDefault="000E2E9F" w:rsidP="00E12F3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7343" w:type="dxa"/>
            <w:shd w:val="clear" w:color="auto" w:fill="auto"/>
          </w:tcPr>
          <w:p w14:paraId="0318EB6C" w14:textId="428483FE" w:rsidR="009D2EF7" w:rsidRDefault="001715FB" w:rsidP="00B52E8A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is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9D2EF7">
              <w:rPr>
                <w:sz w:val="18"/>
                <w:szCs w:val="18"/>
              </w:rPr>
              <w:t xml:space="preserve">the number of materials indices </w:t>
            </w:r>
            <w:r>
              <w:rPr>
                <w:sz w:val="18"/>
                <w:szCs w:val="18"/>
              </w:rPr>
              <w:t xml:space="preserve">in </w:t>
            </w:r>
            <w:r w:rsidR="009D2EF7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price adjustment formula</w:t>
            </w:r>
            <w:r w:rsidR="009D2EF7">
              <w:rPr>
                <w:sz w:val="18"/>
                <w:szCs w:val="18"/>
              </w:rPr>
              <w:t xml:space="preserve"> (</w:t>
            </w:r>
            <w:proofErr w:type="spellStart"/>
            <w:r w:rsidR="009D2EF7">
              <w:rPr>
                <w:sz w:val="18"/>
                <w:szCs w:val="18"/>
              </w:rPr>
              <w:t>eg</w:t>
            </w:r>
            <w:proofErr w:type="spellEnd"/>
            <w:r w:rsidR="009D2EF7">
              <w:rPr>
                <w:sz w:val="18"/>
                <w:szCs w:val="18"/>
              </w:rPr>
              <w:t xml:space="preserve">, if </w:t>
            </w:r>
            <w:r w:rsidR="000E2E9F">
              <w:rPr>
                <w:sz w:val="18"/>
                <w:szCs w:val="18"/>
              </w:rPr>
              <w:t>r</w:t>
            </w:r>
            <w:r w:rsidR="009D2EF7">
              <w:rPr>
                <w:sz w:val="18"/>
                <w:szCs w:val="18"/>
              </w:rPr>
              <w:t>=2, there are two materials ind</w:t>
            </w:r>
            <w:r>
              <w:rPr>
                <w:sz w:val="18"/>
                <w:szCs w:val="18"/>
              </w:rPr>
              <w:t>ic</w:t>
            </w:r>
            <w:r w:rsidR="009D2EF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  <w:r w:rsidR="009D2EF7">
              <w:rPr>
                <w:sz w:val="18"/>
                <w:szCs w:val="18"/>
              </w:rPr>
              <w:t xml:space="preserve"> (M</w:t>
            </w:r>
            <w:r w:rsidR="009D2EF7">
              <w:rPr>
                <w:sz w:val="18"/>
                <w:szCs w:val="18"/>
                <w:vertAlign w:val="subscript"/>
              </w:rPr>
              <w:t>k</w:t>
            </w:r>
            <w:r w:rsidR="009D2EF7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with</w:t>
            </w:r>
            <w:r w:rsidR="009D2EF7">
              <w:rPr>
                <w:sz w:val="18"/>
                <w:szCs w:val="18"/>
              </w:rPr>
              <w:t xml:space="preserve"> </w:t>
            </w:r>
            <w:r w:rsidR="009D2EF7" w:rsidRPr="00776500">
              <w:rPr>
                <w:sz w:val="18"/>
                <w:szCs w:val="18"/>
              </w:rPr>
              <w:t>two</w:t>
            </w:r>
            <w:r w:rsidR="009D2E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related </w:t>
            </w:r>
            <w:r w:rsidR="00B52E8A">
              <w:rPr>
                <w:sz w:val="18"/>
                <w:szCs w:val="18"/>
              </w:rPr>
              <w:t xml:space="preserve">component </w:t>
            </w:r>
            <w:r>
              <w:rPr>
                <w:sz w:val="18"/>
                <w:szCs w:val="18"/>
              </w:rPr>
              <w:t>weightings</w:t>
            </w:r>
            <w:r w:rsidR="009D2EF7">
              <w:rPr>
                <w:sz w:val="18"/>
                <w:szCs w:val="18"/>
              </w:rPr>
              <w:t xml:space="preserve"> (</w:t>
            </w:r>
            <w:proofErr w:type="spellStart"/>
            <w:r w:rsidR="009D2EF7">
              <w:rPr>
                <w:sz w:val="18"/>
                <w:szCs w:val="18"/>
              </w:rPr>
              <w:t>Z</w:t>
            </w:r>
            <w:r w:rsidR="009D2EF7">
              <w:rPr>
                <w:sz w:val="18"/>
                <w:szCs w:val="18"/>
                <w:vertAlign w:val="subscript"/>
              </w:rPr>
              <w:t>k</w:t>
            </w:r>
            <w:proofErr w:type="spellEnd"/>
            <w:r w:rsidR="009D2EF7">
              <w:rPr>
                <w:sz w:val="18"/>
                <w:szCs w:val="18"/>
              </w:rPr>
              <w:t>)</w:t>
            </w:r>
            <w:r w:rsidR="004119D5">
              <w:rPr>
                <w:sz w:val="18"/>
                <w:szCs w:val="18"/>
              </w:rPr>
              <w:t xml:space="preserve"> </w:t>
            </w:r>
            <w:r w:rsidR="00B52E8A">
              <w:rPr>
                <w:sz w:val="18"/>
                <w:szCs w:val="18"/>
              </w:rPr>
              <w:t>identified in Annex C</w:t>
            </w:r>
            <w:r w:rsidR="004119D5">
              <w:rPr>
                <w:sz w:val="18"/>
                <w:szCs w:val="18"/>
              </w:rPr>
              <w:t>)</w:t>
            </w:r>
            <w:r w:rsidR="009D2EF7">
              <w:rPr>
                <w:sz w:val="18"/>
                <w:szCs w:val="18"/>
              </w:rPr>
              <w:t>.</w:t>
            </w:r>
          </w:p>
        </w:tc>
      </w:tr>
      <w:bookmarkEnd w:id="18"/>
    </w:tbl>
    <w:p w14:paraId="59BA0607" w14:textId="77777777" w:rsidR="00B52E8A" w:rsidRDefault="00B52E8A" w:rsidP="00B52E8A">
      <w:pPr>
        <w:pStyle w:val="ASDEFCONOptionSpace"/>
      </w:pPr>
    </w:p>
    <w:p w14:paraId="64977786" w14:textId="04C35F88" w:rsidR="00825EF0" w:rsidRDefault="0062165D" w:rsidP="00E37044">
      <w:pPr>
        <w:pStyle w:val="COTCOCLV3NONUM-ASDEFCON"/>
      </w:pPr>
      <w:r>
        <w:t>and where, for each price adjustment</w:t>
      </w:r>
      <w:r w:rsidR="00B52E8A">
        <w:t>,</w:t>
      </w:r>
      <w:r w:rsidR="00825EF0">
        <w:t xml:space="preserve"> the sum of all components (weightings) attributed to fixed</w:t>
      </w:r>
      <w:r w:rsidR="00B52E8A" w:rsidRPr="00B52E8A">
        <w:t xml:space="preserve"> </w:t>
      </w:r>
      <w:r w:rsidR="00B52E8A">
        <w:t>amount</w:t>
      </w:r>
      <w:r w:rsidR="00825EF0">
        <w:t xml:space="preserve">, labour and materials components, equals one, </w:t>
      </w:r>
      <w:proofErr w:type="spellStart"/>
      <w:r w:rsidR="00825EF0">
        <w:t>ie</w:t>
      </w:r>
      <w:proofErr w:type="spellEnd"/>
      <w:r w:rsidR="00825EF0">
        <w:t>:</w:t>
      </w:r>
    </w:p>
    <w:p w14:paraId="6F9C6985" w14:textId="5E0A3B24" w:rsidR="0062165D" w:rsidRPr="00825EF0" w:rsidRDefault="00CD1668" w:rsidP="00E37044">
      <w:pPr>
        <w:pStyle w:val="ASDEFCONNormal"/>
        <w:jc w:val="center"/>
      </w:pPr>
      <m:oMathPara>
        <m:oMath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0"/>
                </w:rPr>
              </m:ctrlPr>
            </m:naryPr>
            <m:sub>
              <m:r>
                <w:rPr>
                  <w:rFonts w:ascii="Cambria Math" w:hAnsi="Cambria Math"/>
                  <w:szCs w:val="20"/>
                </w:rPr>
                <m:t>i=1</m:t>
              </m:r>
            </m:sub>
            <m:sup>
              <m:r>
                <w:rPr>
                  <w:rFonts w:ascii="Cambria Math" w:hAnsi="Cambria Math"/>
                  <w:szCs w:val="20"/>
                </w:rPr>
                <m:t>q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0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Cs w:val="20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0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  <w:szCs w:val="20"/>
                    </w:rPr>
                    <m:t>r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0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Cs w:val="20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  <w:szCs w:val="20"/>
                    </w:rPr>
                    <m:t>=1</m:t>
                  </m:r>
                </m:e>
              </m:nary>
            </m:e>
          </m:nary>
        </m:oMath>
      </m:oMathPara>
    </w:p>
    <w:p w14:paraId="248B894D" w14:textId="4D451DFE" w:rsidR="00503DC0" w:rsidRDefault="00503DC0" w:rsidP="00240187">
      <w:pPr>
        <w:pStyle w:val="COTCOCLV2-ASDEFCON"/>
      </w:pPr>
      <w:r>
        <w:t>Indices</w:t>
      </w:r>
    </w:p>
    <w:p w14:paraId="1ED7BCD7" w14:textId="25A7DC03" w:rsidR="0084171A" w:rsidRPr="002A29EA" w:rsidRDefault="0084171A">
      <w:pPr>
        <w:pStyle w:val="COTCOCLV3-ASDEFCON"/>
      </w:pPr>
      <w:r w:rsidRPr="002A29EA">
        <w:t>The</w:t>
      </w:r>
      <w:r w:rsidR="00B46F69">
        <w:t xml:space="preserve"> Australian and international</w:t>
      </w:r>
      <w:r w:rsidRPr="002A29EA">
        <w:t xml:space="preserve"> </w:t>
      </w:r>
      <w:r>
        <w:t>indices</w:t>
      </w:r>
      <w:r w:rsidRPr="002A29EA">
        <w:t xml:space="preserve"> for the labour </w:t>
      </w:r>
      <w:r w:rsidR="00B46F69">
        <w:t xml:space="preserve">and materials </w:t>
      </w:r>
      <w:r w:rsidRPr="002A29EA">
        <w:t>component</w:t>
      </w:r>
      <w:r w:rsidR="00B46F69">
        <w:t>s</w:t>
      </w:r>
      <w:r>
        <w:t xml:space="preserve"> </w:t>
      </w:r>
      <w:r w:rsidR="00B46F69">
        <w:t xml:space="preserve">of the prices for the Contract are detailed in the file: </w:t>
      </w:r>
      <w:r w:rsidR="00C04B84" w:rsidRPr="00C04B84">
        <w:rPr>
          <w:b/>
        </w:rPr>
        <w:fldChar w:fldCharType="begin">
          <w:ffData>
            <w:name w:val="Text11"/>
            <w:enabled/>
            <w:calcOnExit w:val="0"/>
            <w:textInput>
              <w:default w:val="(…INSERT the file name for the “Adjustments” tab from the workbook…)"/>
            </w:textInput>
          </w:ffData>
        </w:fldChar>
      </w:r>
      <w:bookmarkStart w:id="19" w:name="Text11"/>
      <w:r w:rsidR="00C04B84" w:rsidRPr="00C04B84">
        <w:rPr>
          <w:b/>
        </w:rPr>
        <w:instrText xml:space="preserve"> FORMTEXT </w:instrText>
      </w:r>
      <w:r w:rsidR="00C04B84" w:rsidRPr="00C04B84">
        <w:rPr>
          <w:b/>
        </w:rPr>
      </w:r>
      <w:r w:rsidR="00C04B84" w:rsidRPr="00C04B84">
        <w:rPr>
          <w:b/>
        </w:rPr>
        <w:fldChar w:fldCharType="separate"/>
      </w:r>
      <w:r w:rsidR="00006AF2">
        <w:rPr>
          <w:b/>
          <w:noProof/>
        </w:rPr>
        <w:t>(…INSERT the file name for the “Adjustments” tab from the workbook…)</w:t>
      </w:r>
      <w:r w:rsidR="00C04B84" w:rsidRPr="00C04B84">
        <w:rPr>
          <w:b/>
        </w:rPr>
        <w:fldChar w:fldCharType="end"/>
      </w:r>
      <w:bookmarkEnd w:id="19"/>
      <w:r w:rsidR="00B46F69">
        <w:t>, and forms Annex C to this Attachment.</w:t>
      </w:r>
    </w:p>
    <w:p w14:paraId="67AA556B" w14:textId="67A689A4" w:rsidR="0084171A" w:rsidRPr="002A29EA" w:rsidRDefault="0084171A" w:rsidP="008C2392">
      <w:pPr>
        <w:pStyle w:val="NoteToTenderers-ASDEFCON"/>
        <w:keepNext w:val="0"/>
      </w:pPr>
      <w:r w:rsidRPr="002A29EA">
        <w:t>Note to tenderers:</w:t>
      </w:r>
    </w:p>
    <w:p w14:paraId="40060869" w14:textId="2DB0A896" w:rsidR="00F64EB3" w:rsidRDefault="00CD1668" w:rsidP="008C2392">
      <w:pPr>
        <w:pStyle w:val="NoteToTenderers-ASDEFCON"/>
        <w:keepNext w:val="0"/>
        <w:ind w:left="720" w:hanging="720"/>
      </w:pPr>
      <w:r>
        <w:t>Note 1:</w:t>
      </w:r>
      <w:r>
        <w:tab/>
        <w:t>For labour costs incurred in</w:t>
      </w:r>
      <w:r w:rsidRPr="002A29EA">
        <w:t xml:space="preserve"> </w:t>
      </w:r>
      <w:r w:rsidR="00D405B3">
        <w:t>Australia</w:t>
      </w:r>
      <w:r>
        <w:t>, the only input based (cost of</w:t>
      </w:r>
      <w:r w:rsidDel="00CD1668">
        <w:t xml:space="preserve"> </w:t>
      </w:r>
      <w:r w:rsidR="0084171A" w:rsidRPr="002A29EA">
        <w:t>labour</w:t>
      </w:r>
      <w:r>
        <w:t>)</w:t>
      </w:r>
      <w:r w:rsidR="0084171A" w:rsidRPr="002A29EA">
        <w:t xml:space="preserve"> index acceptable to the Commonwealth is ABS catalogue ‘Wage </w:t>
      </w:r>
      <w:r w:rsidR="0084171A">
        <w:t xml:space="preserve">Price </w:t>
      </w:r>
      <w:r w:rsidR="0084171A" w:rsidRPr="002A29EA">
        <w:t>Index’</w:t>
      </w:r>
      <w:r w:rsidR="0084171A">
        <w:t xml:space="preserve"> Table 9B</w:t>
      </w:r>
      <w:r w:rsidR="0084171A" w:rsidRPr="002A29EA">
        <w:t>.</w:t>
      </w:r>
    </w:p>
    <w:p w14:paraId="3A0D6BF5" w14:textId="5341017B" w:rsidR="0084171A" w:rsidRPr="002A29EA" w:rsidRDefault="00CD1668" w:rsidP="008C2392">
      <w:pPr>
        <w:pStyle w:val="NoteToTenderers-ASDEFCON"/>
        <w:keepNext w:val="0"/>
        <w:ind w:left="720" w:hanging="720"/>
      </w:pPr>
      <w:r>
        <w:t>Note 2:</w:t>
      </w:r>
      <w:r>
        <w:tab/>
      </w:r>
      <w:r w:rsidR="0084171A" w:rsidRPr="002A29EA">
        <w:t>For labour costs incurred overseas, the labour index must be an appropriate index published by an agency of the relevant Government.</w:t>
      </w:r>
    </w:p>
    <w:p w14:paraId="2FF37623" w14:textId="716791D4" w:rsidR="0084171A" w:rsidRPr="002A29EA" w:rsidRDefault="00CD1668" w:rsidP="008C2392">
      <w:pPr>
        <w:pStyle w:val="NoteToTenderers-ASDEFCON"/>
        <w:keepNext w:val="0"/>
        <w:ind w:left="720" w:hanging="720"/>
      </w:pPr>
      <w:r>
        <w:t>Note 3:</w:t>
      </w:r>
      <w:r>
        <w:tab/>
      </w:r>
      <w:r w:rsidR="0084171A" w:rsidRPr="002A29EA">
        <w:t>For the Australia</w:t>
      </w:r>
      <w:r>
        <w:t>n materials</w:t>
      </w:r>
      <w:r w:rsidR="0084171A" w:rsidRPr="002A29EA">
        <w:t xml:space="preserve"> component, ABS catalogue ‘Producer Price Indexes, Australia’ </w:t>
      </w:r>
      <w:r w:rsidR="001F2D7E">
        <w:t xml:space="preserve">– Table 12 </w:t>
      </w:r>
      <w:r w:rsidR="0084171A" w:rsidRPr="002A29EA">
        <w:t>should be utilised.</w:t>
      </w:r>
    </w:p>
    <w:p w14:paraId="2A07F847" w14:textId="297C7B22" w:rsidR="0084171A" w:rsidRDefault="00CD1668" w:rsidP="008C2392">
      <w:pPr>
        <w:pStyle w:val="NoteToTenderers-ASDEFCON"/>
        <w:keepNext w:val="0"/>
        <w:ind w:left="720" w:hanging="720"/>
      </w:pPr>
      <w:r>
        <w:lastRenderedPageBreak/>
        <w:t>Note 4:</w:t>
      </w:r>
      <w:r>
        <w:tab/>
      </w:r>
      <w:r w:rsidR="0084171A" w:rsidRPr="002A29EA">
        <w:t>For the imported materials component, the index must be appropriate and published by an agency of the relevant Government.</w:t>
      </w:r>
    </w:p>
    <w:p w14:paraId="213AA302" w14:textId="3743A865" w:rsidR="00AA4873" w:rsidRPr="002A29EA" w:rsidRDefault="00AA4873" w:rsidP="00AA4873">
      <w:pPr>
        <w:pStyle w:val="COTCOCLV1-ASDEFCON"/>
      </w:pPr>
      <w:bookmarkStart w:id="20" w:name="_Toc74308019"/>
      <w:bookmarkStart w:id="21" w:name="_Toc74308418"/>
      <w:bookmarkStart w:id="22" w:name="_Toc74308804"/>
      <w:bookmarkStart w:id="23" w:name="_Toc74636060"/>
      <w:bookmarkStart w:id="24" w:name="_Toc74308020"/>
      <w:bookmarkStart w:id="25" w:name="_Toc74308419"/>
      <w:bookmarkStart w:id="26" w:name="_Toc74308805"/>
      <w:bookmarkStart w:id="27" w:name="_Toc74636061"/>
      <w:bookmarkStart w:id="28" w:name="_Toc74308021"/>
      <w:bookmarkStart w:id="29" w:name="_Toc74308420"/>
      <w:bookmarkStart w:id="30" w:name="_Toc74308806"/>
      <w:bookmarkStart w:id="31" w:name="_Toc74636062"/>
      <w:bookmarkStart w:id="32" w:name="_Toc74308022"/>
      <w:bookmarkStart w:id="33" w:name="_Toc74308421"/>
      <w:bookmarkStart w:id="34" w:name="_Toc74308807"/>
      <w:bookmarkStart w:id="35" w:name="_Toc74636063"/>
      <w:bookmarkStart w:id="36" w:name="_Toc74308034"/>
      <w:bookmarkStart w:id="37" w:name="_Toc74308433"/>
      <w:bookmarkStart w:id="38" w:name="_Toc74308819"/>
      <w:bookmarkStart w:id="39" w:name="_Toc74636075"/>
      <w:bookmarkStart w:id="40" w:name="_Toc74308060"/>
      <w:bookmarkStart w:id="41" w:name="_Toc74308459"/>
      <w:bookmarkStart w:id="42" w:name="_Toc74308845"/>
      <w:bookmarkStart w:id="43" w:name="_Toc74636101"/>
      <w:bookmarkStart w:id="44" w:name="_Toc74308078"/>
      <w:bookmarkStart w:id="45" w:name="_Toc74308477"/>
      <w:bookmarkStart w:id="46" w:name="_Toc74308863"/>
      <w:bookmarkStart w:id="47" w:name="_Toc74636119"/>
      <w:bookmarkStart w:id="48" w:name="_Toc74308092"/>
      <w:bookmarkStart w:id="49" w:name="_Toc74308491"/>
      <w:bookmarkStart w:id="50" w:name="_Toc74308877"/>
      <w:bookmarkStart w:id="51" w:name="_Toc74636133"/>
      <w:bookmarkStart w:id="52" w:name="_Toc74308106"/>
      <w:bookmarkStart w:id="53" w:name="_Toc74308505"/>
      <w:bookmarkStart w:id="54" w:name="_Toc74308891"/>
      <w:bookmarkStart w:id="55" w:name="_Toc74636147"/>
      <w:bookmarkStart w:id="56" w:name="_Toc74308120"/>
      <w:bookmarkStart w:id="57" w:name="_Toc74308519"/>
      <w:bookmarkStart w:id="58" w:name="_Toc74308905"/>
      <w:bookmarkStart w:id="59" w:name="_Toc74636161"/>
      <w:bookmarkStart w:id="60" w:name="_Toc74308134"/>
      <w:bookmarkStart w:id="61" w:name="_Toc74308533"/>
      <w:bookmarkStart w:id="62" w:name="_Toc74308919"/>
      <w:bookmarkStart w:id="63" w:name="_Toc74636175"/>
      <w:bookmarkStart w:id="64" w:name="_Toc74308148"/>
      <w:bookmarkStart w:id="65" w:name="_Toc74308547"/>
      <w:bookmarkStart w:id="66" w:name="_Toc74308933"/>
      <w:bookmarkStart w:id="67" w:name="_Toc74636189"/>
      <w:bookmarkStart w:id="68" w:name="_Toc74205047"/>
      <w:bookmarkStart w:id="69" w:name="_Toc74207172"/>
      <w:bookmarkStart w:id="70" w:name="_Toc74207495"/>
      <w:bookmarkStart w:id="71" w:name="_Toc74207773"/>
      <w:bookmarkStart w:id="72" w:name="_Toc74208050"/>
      <w:bookmarkStart w:id="73" w:name="_Toc74208327"/>
      <w:bookmarkStart w:id="74" w:name="_Toc74208605"/>
      <w:bookmarkStart w:id="75" w:name="_Toc74308153"/>
      <w:bookmarkStart w:id="76" w:name="_Toc74308552"/>
      <w:bookmarkStart w:id="77" w:name="_Toc74308938"/>
      <w:bookmarkStart w:id="78" w:name="_Toc74636194"/>
      <w:bookmarkStart w:id="79" w:name="_Toc74205048"/>
      <w:bookmarkStart w:id="80" w:name="_Toc74207173"/>
      <w:bookmarkStart w:id="81" w:name="_Toc74207496"/>
      <w:bookmarkStart w:id="82" w:name="_Toc74207774"/>
      <w:bookmarkStart w:id="83" w:name="_Toc74208051"/>
      <w:bookmarkStart w:id="84" w:name="_Toc74208328"/>
      <w:bookmarkStart w:id="85" w:name="_Toc74208606"/>
      <w:bookmarkStart w:id="86" w:name="_Toc74308154"/>
      <w:bookmarkStart w:id="87" w:name="_Toc74308553"/>
      <w:bookmarkStart w:id="88" w:name="_Toc74308939"/>
      <w:bookmarkStart w:id="89" w:name="_Toc74636195"/>
      <w:bookmarkStart w:id="90" w:name="_Toc74205049"/>
      <w:bookmarkStart w:id="91" w:name="_Toc74207174"/>
      <w:bookmarkStart w:id="92" w:name="_Toc74207497"/>
      <w:bookmarkStart w:id="93" w:name="_Toc74207775"/>
      <w:bookmarkStart w:id="94" w:name="_Toc74208052"/>
      <w:bookmarkStart w:id="95" w:name="_Toc74208329"/>
      <w:bookmarkStart w:id="96" w:name="_Toc74208607"/>
      <w:bookmarkStart w:id="97" w:name="_Toc74308155"/>
      <w:bookmarkStart w:id="98" w:name="_Toc74308554"/>
      <w:bookmarkStart w:id="99" w:name="_Toc74308940"/>
      <w:bookmarkStart w:id="100" w:name="_Toc74636196"/>
      <w:bookmarkStart w:id="101" w:name="_Toc74205052"/>
      <w:bookmarkStart w:id="102" w:name="_Toc74207177"/>
      <w:bookmarkStart w:id="103" w:name="_Toc74207500"/>
      <w:bookmarkStart w:id="104" w:name="_Toc74207778"/>
      <w:bookmarkStart w:id="105" w:name="_Toc74208055"/>
      <w:bookmarkStart w:id="106" w:name="_Toc74208332"/>
      <w:bookmarkStart w:id="107" w:name="_Toc74208610"/>
      <w:bookmarkStart w:id="108" w:name="_Toc74308158"/>
      <w:bookmarkStart w:id="109" w:name="_Toc74308557"/>
      <w:bookmarkStart w:id="110" w:name="_Toc74308943"/>
      <w:bookmarkStart w:id="111" w:name="_Toc74636199"/>
      <w:bookmarkStart w:id="112" w:name="_Toc74205054"/>
      <w:bookmarkStart w:id="113" w:name="_Toc74207179"/>
      <w:bookmarkStart w:id="114" w:name="_Toc74207502"/>
      <w:bookmarkStart w:id="115" w:name="_Toc74207780"/>
      <w:bookmarkStart w:id="116" w:name="_Toc74208057"/>
      <w:bookmarkStart w:id="117" w:name="_Toc74208334"/>
      <w:bookmarkStart w:id="118" w:name="_Toc74208612"/>
      <w:bookmarkStart w:id="119" w:name="_Toc74308160"/>
      <w:bookmarkStart w:id="120" w:name="_Toc74308559"/>
      <w:bookmarkStart w:id="121" w:name="_Toc74308945"/>
      <w:bookmarkStart w:id="122" w:name="_Toc74636201"/>
      <w:bookmarkStart w:id="123" w:name="_Toc74205060"/>
      <w:bookmarkStart w:id="124" w:name="_Toc74207185"/>
      <w:bookmarkStart w:id="125" w:name="_Toc74207508"/>
      <w:bookmarkStart w:id="126" w:name="_Toc74207786"/>
      <w:bookmarkStart w:id="127" w:name="_Toc74208063"/>
      <w:bookmarkStart w:id="128" w:name="_Toc74208340"/>
      <w:bookmarkStart w:id="129" w:name="_Toc74208618"/>
      <w:bookmarkStart w:id="130" w:name="_Toc74308166"/>
      <w:bookmarkStart w:id="131" w:name="_Toc74308565"/>
      <w:bookmarkStart w:id="132" w:name="_Toc74308951"/>
      <w:bookmarkStart w:id="133" w:name="_Toc74636207"/>
      <w:bookmarkStart w:id="134" w:name="_Toc74205289"/>
      <w:bookmarkStart w:id="135" w:name="_Toc175039456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>
        <w:t xml:space="preserve">Schedule of </w:t>
      </w:r>
      <w:r w:rsidR="006F0742">
        <w:t xml:space="preserve">Specific </w:t>
      </w:r>
      <w:r>
        <w:t>Prices and Not-To-Exceed Prices</w:t>
      </w:r>
      <w:r w:rsidRPr="002A29EA">
        <w:t xml:space="preserve"> (</w:t>
      </w:r>
      <w:r>
        <w:t>CORE</w:t>
      </w:r>
      <w:r w:rsidRPr="002A29EA">
        <w:t>)</w:t>
      </w:r>
      <w:bookmarkEnd w:id="135"/>
    </w:p>
    <w:p w14:paraId="4C15B14D" w14:textId="311B2506" w:rsidR="001B27D7" w:rsidRPr="002A29EA" w:rsidRDefault="001B27D7" w:rsidP="00FC4375">
      <w:pPr>
        <w:pStyle w:val="NoteToDrafters-ASDEFCON"/>
      </w:pPr>
      <w:r w:rsidRPr="002A29EA">
        <w:t xml:space="preserve">Note to drafters:  Prior to RFT release drafters </w:t>
      </w:r>
      <w:r>
        <w:t>need to</w:t>
      </w:r>
      <w:r w:rsidRPr="002A29EA">
        <w:t xml:space="preserve"> </w:t>
      </w:r>
      <w:r w:rsidR="0011332E">
        <w:t>populate</w:t>
      </w:r>
      <w:r w:rsidRPr="002A29EA">
        <w:t xml:space="preserve"> the</w:t>
      </w:r>
      <w:r>
        <w:t xml:space="preserve"> ‘</w:t>
      </w:r>
      <w:r w:rsidR="0011332E">
        <w:t>Specific Prices’</w:t>
      </w:r>
      <w:r>
        <w:t xml:space="preserve"> </w:t>
      </w:r>
      <w:r w:rsidR="00161F8B">
        <w:t>worksheet</w:t>
      </w:r>
      <w:r>
        <w:t xml:space="preserve"> of the </w:t>
      </w:r>
      <w:r w:rsidR="00E162F8">
        <w:t>ACQ</w:t>
      </w:r>
      <w:r w:rsidR="00161F8B">
        <w:t>PW</w:t>
      </w:r>
      <w:r w:rsidRPr="002A29EA">
        <w:t>.</w:t>
      </w:r>
      <w:r>
        <w:t xml:space="preserve">  Refer to TDR D-</w:t>
      </w:r>
      <w:r w:rsidR="0011332E">
        <w:t>5</w:t>
      </w:r>
      <w:r>
        <w:t xml:space="preserve"> for details.</w:t>
      </w:r>
    </w:p>
    <w:p w14:paraId="1BB2A40A" w14:textId="68236E02" w:rsidR="005051FD" w:rsidRDefault="00AA4873" w:rsidP="00AA4873">
      <w:pPr>
        <w:pStyle w:val="NoteToTenderers-ASDEFCON"/>
      </w:pPr>
      <w:r w:rsidRPr="002A29EA">
        <w:t xml:space="preserve">Note to tenderers:  Annex </w:t>
      </w:r>
      <w:r w:rsidR="001B27D7">
        <w:t>D</w:t>
      </w:r>
      <w:r>
        <w:t xml:space="preserve"> </w:t>
      </w:r>
      <w:r w:rsidRPr="002A29EA">
        <w:t xml:space="preserve">will consist of an amalgamation of the </w:t>
      </w:r>
      <w:r w:rsidR="00E162F8">
        <w:t>ACQ</w:t>
      </w:r>
      <w:r w:rsidR="00161F8B">
        <w:t>PW</w:t>
      </w:r>
      <w:r w:rsidR="001B27D7">
        <w:t xml:space="preserve"> ‘Specific Prices’ </w:t>
      </w:r>
      <w:r w:rsidR="00161F8B">
        <w:t>worksheet</w:t>
      </w:r>
      <w:r w:rsidR="001B27D7" w:rsidDel="001B27D7">
        <w:t xml:space="preserve"> </w:t>
      </w:r>
      <w:r w:rsidR="001B27D7">
        <w:t xml:space="preserve">for </w:t>
      </w:r>
      <w:r w:rsidR="001B27D7" w:rsidRPr="002A29EA">
        <w:t>the successful tenderer’s response</w:t>
      </w:r>
      <w:r w:rsidR="001B27D7" w:rsidDel="001B27D7">
        <w:t xml:space="preserve"> </w:t>
      </w:r>
      <w:r w:rsidR="001B27D7">
        <w:t xml:space="preserve">to </w:t>
      </w:r>
      <w:r w:rsidRPr="002A29EA">
        <w:t>TDR D-</w:t>
      </w:r>
      <w:r w:rsidR="001B27D7">
        <w:t>5</w:t>
      </w:r>
      <w:r>
        <w:t>, and any negotiated adjustments</w:t>
      </w:r>
      <w:r w:rsidRPr="002A29EA">
        <w:t>.</w:t>
      </w:r>
      <w:r w:rsidR="007E2244">
        <w:t xml:space="preserve">  </w:t>
      </w:r>
      <w:r w:rsidR="00F21015" w:rsidRPr="00FD186F">
        <w:t>Only those</w:t>
      </w:r>
      <w:r w:rsidR="007E2244" w:rsidRPr="00FD186F">
        <w:t xml:space="preserve"> tendered specific prices </w:t>
      </w:r>
      <w:r w:rsidR="00F21015" w:rsidRPr="00FD186F">
        <w:t>that are relevant to a</w:t>
      </w:r>
      <w:r w:rsidR="00E63CF0" w:rsidRPr="00FD186F">
        <w:t>ny</w:t>
      </w:r>
      <w:r w:rsidR="00F21015" w:rsidRPr="00FD186F">
        <w:t xml:space="preserve"> negotiated</w:t>
      </w:r>
      <w:r w:rsidR="00E63CF0" w:rsidRPr="00FD186F">
        <w:t xml:space="preserve"> resultant</w:t>
      </w:r>
      <w:r w:rsidR="00F21015" w:rsidRPr="00FD186F">
        <w:t xml:space="preserve"> </w:t>
      </w:r>
      <w:r w:rsidR="00E63CF0" w:rsidRPr="00FD186F">
        <w:t xml:space="preserve">Contract </w:t>
      </w:r>
      <w:r w:rsidR="007E2244" w:rsidRPr="00FD186F">
        <w:t xml:space="preserve">will transfer into the ‘contract </w:t>
      </w:r>
      <w:r w:rsidR="007E2244" w:rsidRPr="00073462">
        <w:t>version’ of</w:t>
      </w:r>
      <w:r w:rsidR="004B7194" w:rsidRPr="00073462">
        <w:t xml:space="preserve"> the </w:t>
      </w:r>
      <w:r w:rsidR="00E162F8">
        <w:t>ACQ</w:t>
      </w:r>
      <w:r w:rsidR="004B7194" w:rsidRPr="00073462">
        <w:t xml:space="preserve">PW and Annex D for </w:t>
      </w:r>
      <w:r w:rsidR="00E63CF0" w:rsidRPr="00073462">
        <w:t>that</w:t>
      </w:r>
      <w:r w:rsidR="004B7194" w:rsidRPr="00073462">
        <w:t xml:space="preserve"> resultant Contract</w:t>
      </w:r>
      <w:r w:rsidR="004B7194">
        <w:t>.</w:t>
      </w:r>
    </w:p>
    <w:p w14:paraId="5936C247" w14:textId="07741771" w:rsidR="001B27D7" w:rsidRDefault="001B27D7" w:rsidP="001B27D7">
      <w:pPr>
        <w:pStyle w:val="COTCOCLV3-ASDEFCON"/>
      </w:pPr>
      <w:r>
        <w:t xml:space="preserve">The Schedule of Specific Prices and Not-To-Exceed Prices is detailed in the file: </w:t>
      </w:r>
      <w:r w:rsidRPr="00A70BA6">
        <w:rPr>
          <w:b/>
        </w:rPr>
        <w:fldChar w:fldCharType="begin">
          <w:ffData>
            <w:name w:val=""/>
            <w:enabled/>
            <w:calcOnExit w:val="0"/>
            <w:textInput>
              <w:default w:val="(…INSERT the file name for the 'Specific Prices' tab from the workbook…)"/>
            </w:textInput>
          </w:ffData>
        </w:fldChar>
      </w:r>
      <w:r w:rsidRPr="00A70BA6">
        <w:rPr>
          <w:b/>
        </w:rPr>
        <w:instrText xml:space="preserve"> FORMTEXT </w:instrText>
      </w:r>
      <w:r w:rsidRPr="00A70BA6">
        <w:rPr>
          <w:b/>
        </w:rPr>
      </w:r>
      <w:r w:rsidRPr="00A70BA6">
        <w:rPr>
          <w:b/>
        </w:rPr>
        <w:fldChar w:fldCharType="separate"/>
      </w:r>
      <w:r w:rsidR="00006AF2">
        <w:rPr>
          <w:b/>
          <w:noProof/>
        </w:rPr>
        <w:t>(…INSERT the file name for the 'Specific Prices' tab from the workbook…)</w:t>
      </w:r>
      <w:r w:rsidRPr="00A70BA6">
        <w:rPr>
          <w:b/>
        </w:rPr>
        <w:fldChar w:fldCharType="end"/>
      </w:r>
      <w:r>
        <w:t xml:space="preserve">, and forms Annex </w:t>
      </w:r>
      <w:r w:rsidR="0011332E">
        <w:t>D</w:t>
      </w:r>
      <w:r>
        <w:t xml:space="preserve"> to this Attachment.</w:t>
      </w:r>
    </w:p>
    <w:p w14:paraId="63AF32EE" w14:textId="3B98B887" w:rsidR="00736955" w:rsidRDefault="00736955" w:rsidP="00736955">
      <w:pPr>
        <w:pStyle w:val="Note-ASDEFCON"/>
        <w:rPr>
          <w:szCs w:val="20"/>
        </w:rPr>
      </w:pPr>
      <w:r>
        <w:t xml:space="preserve">Note: </w:t>
      </w:r>
      <w:r w:rsidR="006D0690">
        <w:t xml:space="preserve"> </w:t>
      </w:r>
      <w:r w:rsidRPr="005E7E79">
        <w:rPr>
          <w:szCs w:val="20"/>
        </w:rPr>
        <w:t>When the required range and quantities of</w:t>
      </w:r>
      <w:r w:rsidRPr="00BE19D0">
        <w:t xml:space="preserve"> Spares, S&amp;TE</w:t>
      </w:r>
      <w:r w:rsidR="00787A8B">
        <w:t>,</w:t>
      </w:r>
      <w:r w:rsidRPr="00BE19D0">
        <w:t xml:space="preserve"> Training Equipment</w:t>
      </w:r>
      <w:r w:rsidR="00787A8B">
        <w:t xml:space="preserve"> and Special-to-Type Packaging</w:t>
      </w:r>
      <w:r w:rsidRPr="00BE19D0">
        <w:t xml:space="preserve"> have been determined and agreed, </w:t>
      </w:r>
      <w:r w:rsidRPr="005E7E79">
        <w:rPr>
          <w:szCs w:val="20"/>
        </w:rPr>
        <w:t>the Approved recommended provisioning list</w:t>
      </w:r>
      <w:r>
        <w:rPr>
          <w:szCs w:val="20"/>
        </w:rPr>
        <w:t>s</w:t>
      </w:r>
      <w:r w:rsidRPr="005E7E79">
        <w:rPr>
          <w:szCs w:val="20"/>
        </w:rPr>
        <w:t xml:space="preserve"> </w:t>
      </w:r>
      <w:r w:rsidRPr="00BE19D0">
        <w:t xml:space="preserve">for these Support Resources will be </w:t>
      </w:r>
      <w:r w:rsidR="00DC2DA4">
        <w:t>added to</w:t>
      </w:r>
      <w:r w:rsidRPr="00BE19D0">
        <w:t xml:space="preserve"> </w:t>
      </w:r>
      <w:r w:rsidRPr="005E7E79">
        <w:rPr>
          <w:szCs w:val="20"/>
        </w:rPr>
        <w:t xml:space="preserve">Annex A to Attachment B to </w:t>
      </w:r>
      <w:r>
        <w:rPr>
          <w:szCs w:val="20"/>
        </w:rPr>
        <w:t xml:space="preserve">the </w:t>
      </w:r>
      <w:r>
        <w:t>COC</w:t>
      </w:r>
      <w:r w:rsidR="00984A53">
        <w:t>,</w:t>
      </w:r>
      <w:r>
        <w:t xml:space="preserve"> and</w:t>
      </w:r>
      <w:r w:rsidRPr="00BE19D0">
        <w:t xml:space="preserve"> the Contract </w:t>
      </w:r>
      <w:r>
        <w:t>P</w:t>
      </w:r>
      <w:r w:rsidRPr="00BE19D0">
        <w:t>rice</w:t>
      </w:r>
      <w:r w:rsidR="00BC691C">
        <w:t xml:space="preserve"> and relevant Milestone Payments</w:t>
      </w:r>
      <w:r w:rsidR="0025466F">
        <w:t xml:space="preserve"> (including ACE percentages)</w:t>
      </w:r>
      <w:r w:rsidRPr="00BE19D0">
        <w:t xml:space="preserve"> will be </w:t>
      </w:r>
      <w:r>
        <w:t>adjusted</w:t>
      </w:r>
      <w:r w:rsidR="00DC2DA4">
        <w:t xml:space="preserve"> accordingly</w:t>
      </w:r>
      <w:r>
        <w:t>, through a CCP</w:t>
      </w:r>
      <w:r w:rsidRPr="00BE19D0">
        <w:t xml:space="preserve">.  </w:t>
      </w:r>
      <w:r w:rsidRPr="005E7E79">
        <w:rPr>
          <w:szCs w:val="20"/>
        </w:rPr>
        <w:t>The price</w:t>
      </w:r>
      <w:r w:rsidR="00DC2DA4">
        <w:rPr>
          <w:szCs w:val="20"/>
        </w:rPr>
        <w:t>s</w:t>
      </w:r>
      <w:r w:rsidRPr="005E7E79">
        <w:rPr>
          <w:szCs w:val="20"/>
        </w:rPr>
        <w:t xml:space="preserve"> for all Spares, Training Equipment</w:t>
      </w:r>
      <w:r w:rsidR="00DC2DA4">
        <w:rPr>
          <w:szCs w:val="20"/>
        </w:rPr>
        <w:t>,</w:t>
      </w:r>
      <w:r w:rsidRPr="005E7E79">
        <w:rPr>
          <w:szCs w:val="20"/>
        </w:rPr>
        <w:t xml:space="preserve"> S&amp;TE </w:t>
      </w:r>
      <w:r w:rsidR="00DC2DA4">
        <w:t xml:space="preserve">and Special-to-Type Packaging </w:t>
      </w:r>
      <w:r w:rsidR="00984A53">
        <w:t xml:space="preserve">to be </w:t>
      </w:r>
      <w:r w:rsidRPr="005E7E79">
        <w:rPr>
          <w:szCs w:val="20"/>
        </w:rPr>
        <w:t>purchased by the Commonwealth is not expected to exceed the tendered NTE price for the respective category.</w:t>
      </w:r>
      <w:r w:rsidR="00DC2DA4">
        <w:rPr>
          <w:szCs w:val="20"/>
        </w:rPr>
        <w:t xml:space="preserve"> </w:t>
      </w:r>
      <w:r w:rsidRPr="002E17D7">
        <w:rPr>
          <w:szCs w:val="20"/>
        </w:rPr>
        <w:t xml:space="preserve"> </w:t>
      </w:r>
      <w:r>
        <w:rPr>
          <w:szCs w:val="20"/>
        </w:rPr>
        <w:t xml:space="preserve">Prices for other Support Resources, not subject to NTE prices, are included </w:t>
      </w:r>
      <w:r w:rsidR="00DC2DA4">
        <w:rPr>
          <w:szCs w:val="20"/>
        </w:rPr>
        <w:t>with</w:t>
      </w:r>
      <w:r>
        <w:rPr>
          <w:szCs w:val="20"/>
        </w:rPr>
        <w:t>in the Contract Price.</w:t>
      </w:r>
    </w:p>
    <w:p w14:paraId="33318756" w14:textId="05FC6186" w:rsidR="00603854" w:rsidRPr="002A29EA" w:rsidRDefault="00D63871" w:rsidP="00603854">
      <w:pPr>
        <w:pStyle w:val="COTCOCLV1-ASDEFCON"/>
      </w:pPr>
      <w:bookmarkStart w:id="136" w:name="_Hlt70482435"/>
      <w:bookmarkStart w:id="137" w:name="_Hlt82315624"/>
      <w:bookmarkStart w:id="138" w:name="_Ref74301458"/>
      <w:bookmarkStart w:id="139" w:name="_Toc175039457"/>
      <w:bookmarkEnd w:id="136"/>
      <w:bookmarkEnd w:id="137"/>
      <w:r>
        <w:t>Schedule of Rates</w:t>
      </w:r>
      <w:r w:rsidR="00603854" w:rsidRPr="002A29EA">
        <w:t xml:space="preserve"> (</w:t>
      </w:r>
      <w:r w:rsidR="00603854">
        <w:t>CORE</w:t>
      </w:r>
      <w:r w:rsidR="00603854" w:rsidRPr="002A29EA">
        <w:t>)</w:t>
      </w:r>
      <w:bookmarkEnd w:id="138"/>
      <w:bookmarkEnd w:id="139"/>
    </w:p>
    <w:p w14:paraId="3F9E4F78" w14:textId="7FCF047D" w:rsidR="00603854" w:rsidRDefault="00603854" w:rsidP="00603854">
      <w:pPr>
        <w:pStyle w:val="NoteToTenderers-ASDEFCON"/>
      </w:pPr>
      <w:r w:rsidRPr="002A29EA">
        <w:t xml:space="preserve">Note to tenderers:  Annex </w:t>
      </w:r>
      <w:r>
        <w:t>E</w:t>
      </w:r>
      <w:r w:rsidRPr="002A29EA">
        <w:t xml:space="preserve"> will consist of an amalgamation of the </w:t>
      </w:r>
      <w:r w:rsidR="00E162F8">
        <w:t>ACQ</w:t>
      </w:r>
      <w:r w:rsidR="00161F8B">
        <w:t>PW</w:t>
      </w:r>
      <w:r w:rsidR="00F77166">
        <w:t xml:space="preserve"> ‘Schedule of Rates’ and ‘Labour Pricing’ tabs for </w:t>
      </w:r>
      <w:r w:rsidR="00F77166" w:rsidRPr="002A29EA">
        <w:t>the successful tenderer’s response</w:t>
      </w:r>
      <w:r w:rsidR="00F77166" w:rsidDel="001B27D7">
        <w:t xml:space="preserve"> </w:t>
      </w:r>
      <w:r w:rsidR="00F77166">
        <w:t xml:space="preserve">to </w:t>
      </w:r>
      <w:r w:rsidRPr="002A29EA">
        <w:t>TDR D-</w:t>
      </w:r>
      <w:r w:rsidR="00FA70B9">
        <w:t>6</w:t>
      </w:r>
      <w:r w:rsidRPr="00E904B5">
        <w:t xml:space="preserve"> </w:t>
      </w:r>
      <w:r w:rsidRPr="0066273A">
        <w:t>and any negotiated adjustments</w:t>
      </w:r>
      <w:r>
        <w:t>.</w:t>
      </w:r>
    </w:p>
    <w:p w14:paraId="09FFF1B9" w14:textId="5C4BCEC6" w:rsidR="00603854" w:rsidRPr="002A29EA" w:rsidRDefault="00603854" w:rsidP="00603854">
      <w:pPr>
        <w:pStyle w:val="COTCOCLV2-ASDEFCON"/>
      </w:pPr>
      <w:bookmarkStart w:id="140" w:name="_Toc74308397"/>
      <w:bookmarkStart w:id="141" w:name="_Toc74202377"/>
      <w:bookmarkStart w:id="142" w:name="_Toc74202487"/>
      <w:bookmarkStart w:id="143" w:name="_Toc74205293"/>
      <w:bookmarkStart w:id="144" w:name="_Toc74207415"/>
      <w:bookmarkStart w:id="145" w:name="_Toc74207738"/>
      <w:bookmarkStart w:id="146" w:name="_Toc74208016"/>
      <w:bookmarkStart w:id="147" w:name="_Toc74208293"/>
      <w:bookmarkStart w:id="148" w:name="_Toc74208570"/>
      <w:bookmarkStart w:id="149" w:name="_Toc74208848"/>
      <w:bookmarkStart w:id="150" w:name="_Toc74308398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>
        <w:t>Labour R</w:t>
      </w:r>
      <w:r w:rsidRPr="002A29EA">
        <w:t>ates</w:t>
      </w:r>
      <w:r>
        <w:t xml:space="preserve"> and Margins</w:t>
      </w:r>
    </w:p>
    <w:p w14:paraId="3AE8F124" w14:textId="14E0C0E5" w:rsidR="00603854" w:rsidRDefault="00603854" w:rsidP="00603854">
      <w:pPr>
        <w:pStyle w:val="COTCOCLV3-ASDEFCON"/>
      </w:pPr>
      <w:r>
        <w:t xml:space="preserve">The Schedule of Labour Rates for the Contract is detailed in the </w:t>
      </w:r>
      <w:r w:rsidR="00FD7F28">
        <w:t xml:space="preserve">file: </w:t>
      </w:r>
      <w:r w:rsidR="00FD7F28" w:rsidRPr="00A70BA6">
        <w:rPr>
          <w:b/>
        </w:rPr>
        <w:fldChar w:fldCharType="begin">
          <w:ffData>
            <w:name w:val=""/>
            <w:enabled/>
            <w:calcOnExit w:val="0"/>
            <w:textInput>
              <w:default w:val="(…INSERT the file name for the 'Labour Rates' tab from the workbook…)"/>
            </w:textInput>
          </w:ffData>
        </w:fldChar>
      </w:r>
      <w:r w:rsidR="00FD7F28" w:rsidRPr="00A70BA6">
        <w:rPr>
          <w:b/>
        </w:rPr>
        <w:instrText xml:space="preserve"> FORMTEXT </w:instrText>
      </w:r>
      <w:r w:rsidR="00FD7F28" w:rsidRPr="00A70BA6">
        <w:rPr>
          <w:b/>
        </w:rPr>
      </w:r>
      <w:r w:rsidR="00FD7F28" w:rsidRPr="00A70BA6">
        <w:rPr>
          <w:b/>
        </w:rPr>
        <w:fldChar w:fldCharType="separate"/>
      </w:r>
      <w:r w:rsidR="00006AF2">
        <w:rPr>
          <w:b/>
          <w:noProof/>
        </w:rPr>
        <w:t>(…INSERT the file name for the 'Labour Rates' tab from the workbook…)</w:t>
      </w:r>
      <w:r w:rsidR="00FD7F28" w:rsidRPr="00A70BA6">
        <w:rPr>
          <w:b/>
        </w:rPr>
        <w:fldChar w:fldCharType="end"/>
      </w:r>
      <w:r w:rsidR="00FD7F28">
        <w:t>, and forms Schedule 1 to Annex E to this Attachment</w:t>
      </w:r>
      <w:r>
        <w:t>.</w:t>
      </w:r>
    </w:p>
    <w:p w14:paraId="1577CEFE" w14:textId="0C0617E3" w:rsidR="00603854" w:rsidRDefault="00603854" w:rsidP="00603854">
      <w:pPr>
        <w:pStyle w:val="COTCOCLV3-ASDEFCON"/>
      </w:pPr>
      <w:r>
        <w:t>The Schedule of Margins for the Contract is detailed in the</w:t>
      </w:r>
      <w:r w:rsidR="00FD7F28">
        <w:t xml:space="preserve"> file:</w:t>
      </w:r>
      <w:r>
        <w:t xml:space="preserve"> </w:t>
      </w:r>
      <w:r w:rsidR="00FD7F28" w:rsidRPr="00A70BA6">
        <w:rPr>
          <w:b/>
        </w:rPr>
        <w:fldChar w:fldCharType="begin">
          <w:ffData>
            <w:name w:val=""/>
            <w:enabled/>
            <w:calcOnExit w:val="0"/>
            <w:textInput>
              <w:default w:val="(…INSERT the file name for the 'Schedule of Margins' tab from the workbook…)"/>
            </w:textInput>
          </w:ffData>
        </w:fldChar>
      </w:r>
      <w:r w:rsidR="00FD7F28" w:rsidRPr="00A70BA6">
        <w:rPr>
          <w:b/>
        </w:rPr>
        <w:instrText xml:space="preserve"> FORMTEXT </w:instrText>
      </w:r>
      <w:r w:rsidR="00FD7F28" w:rsidRPr="00A70BA6">
        <w:rPr>
          <w:b/>
        </w:rPr>
      </w:r>
      <w:r w:rsidR="00FD7F28" w:rsidRPr="00A70BA6">
        <w:rPr>
          <w:b/>
        </w:rPr>
        <w:fldChar w:fldCharType="separate"/>
      </w:r>
      <w:r w:rsidR="00006AF2">
        <w:rPr>
          <w:b/>
          <w:noProof/>
        </w:rPr>
        <w:t>(…INSERT the file name for the 'Schedule of Margins' tab from the workbook…)</w:t>
      </w:r>
      <w:r w:rsidR="00FD7F28" w:rsidRPr="00A70BA6">
        <w:rPr>
          <w:b/>
        </w:rPr>
        <w:fldChar w:fldCharType="end"/>
      </w:r>
      <w:r w:rsidR="00FD7F28">
        <w:t>, and forms Schedule 2 to Annex E to this Attachment</w:t>
      </w:r>
      <w:r>
        <w:t>.</w:t>
      </w:r>
    </w:p>
    <w:p w14:paraId="304CA2BE" w14:textId="34020ECE" w:rsidR="00603854" w:rsidRDefault="00603854" w:rsidP="00603854">
      <w:pPr>
        <w:pStyle w:val="COTCOCLV3-ASDEFCON"/>
      </w:pPr>
      <w:r>
        <w:t xml:space="preserve">The </w:t>
      </w:r>
      <w:r w:rsidRPr="002A29EA">
        <w:t>labour</w:t>
      </w:r>
      <w:r>
        <w:t xml:space="preserve"> rates</w:t>
      </w:r>
      <w:r w:rsidRPr="002A29EA">
        <w:t xml:space="preserve"> and </w:t>
      </w:r>
      <w:r>
        <w:t>margins</w:t>
      </w:r>
      <w:r w:rsidRPr="002A29EA">
        <w:t xml:space="preserve"> </w:t>
      </w:r>
      <w:r>
        <w:t>that shall</w:t>
      </w:r>
      <w:r w:rsidR="00710E9C">
        <w:t xml:space="preserve"> </w:t>
      </w:r>
      <w:r w:rsidRPr="002A29EA">
        <w:t>be applied by the Contractor (and Approved Subcontractors)</w:t>
      </w:r>
      <w:r w:rsidRPr="00EF07AA">
        <w:t xml:space="preserve"> </w:t>
      </w:r>
      <w:r w:rsidRPr="002A29EA">
        <w:t>in all CCPs under the Contract</w:t>
      </w:r>
      <w:r>
        <w:t xml:space="preserve"> are detailed in the Schedule of Labour Rates and the Schedule of Margins.</w:t>
      </w:r>
    </w:p>
    <w:p w14:paraId="6D33FF0E" w14:textId="24598D42" w:rsidR="00710E9C" w:rsidRDefault="00710E9C" w:rsidP="00603854">
      <w:pPr>
        <w:pStyle w:val="COTCOCLV3-ASDEFCON"/>
      </w:pPr>
      <w:r>
        <w:t xml:space="preserve">Subject to clause </w:t>
      </w:r>
      <w:r w:rsidRPr="002A29EA">
        <w:t>1</w:t>
      </w:r>
      <w:r>
        <w:t>1</w:t>
      </w:r>
      <w:r w:rsidRPr="002A29EA">
        <w:t>.1.</w:t>
      </w:r>
      <w:r>
        <w:t>6</w:t>
      </w:r>
      <w:r w:rsidRPr="00F61D24">
        <w:t xml:space="preserve"> </w:t>
      </w:r>
      <w:r w:rsidRPr="00C77416">
        <w:t xml:space="preserve">of the </w:t>
      </w:r>
      <w:r>
        <w:t xml:space="preserve">COC, the </w:t>
      </w:r>
      <w:r w:rsidRPr="002A29EA">
        <w:t>labour</w:t>
      </w:r>
      <w:r>
        <w:t xml:space="preserve"> rates</w:t>
      </w:r>
      <w:r w:rsidRPr="002A29EA">
        <w:t xml:space="preserve"> and </w:t>
      </w:r>
      <w:r>
        <w:t>margins</w:t>
      </w:r>
      <w:r w:rsidRPr="002A29EA">
        <w:t xml:space="preserve"> </w:t>
      </w:r>
      <w:r>
        <w:t xml:space="preserve">that shall </w:t>
      </w:r>
      <w:r w:rsidRPr="002A29EA">
        <w:t>be applied by the Contractor (and Approved Subcontractors)</w:t>
      </w:r>
      <w:r w:rsidRPr="00EF07AA">
        <w:t xml:space="preserve"> </w:t>
      </w:r>
      <w:r>
        <w:t>for the cost of preparation of</w:t>
      </w:r>
      <w:r w:rsidRPr="002A29EA">
        <w:t xml:space="preserve"> all CCPs under the Contract</w:t>
      </w:r>
      <w:r>
        <w:t xml:space="preserve"> are detailed in the Schedule of Labour Rates and the Schedule of Margins</w:t>
      </w:r>
      <w:r w:rsidR="00BB7EA7">
        <w:t>.</w:t>
      </w:r>
    </w:p>
    <w:p w14:paraId="4256D035" w14:textId="05F8B844" w:rsidR="0069493F" w:rsidRDefault="0069493F" w:rsidP="0069493F">
      <w:pPr>
        <w:pStyle w:val="COTCOCLV1-ASDEFCON"/>
      </w:pPr>
      <w:bookmarkStart w:id="151" w:name="_Toc175039458"/>
      <w:r>
        <w:t>Australian Contract Expenditure (CORE)</w:t>
      </w:r>
      <w:bookmarkEnd w:id="151"/>
    </w:p>
    <w:p w14:paraId="628A160B" w14:textId="6A9FF2A0" w:rsidR="00761DD6" w:rsidRDefault="00761DD6" w:rsidP="00761DD6">
      <w:pPr>
        <w:pStyle w:val="COTCOCLV2-ASDEFCON"/>
      </w:pPr>
      <w:r>
        <w:t>Australian Cont</w:t>
      </w:r>
      <w:r w:rsidR="000B3801">
        <w:t>r</w:t>
      </w:r>
      <w:r>
        <w:t>act Expenditure Amounts</w:t>
      </w:r>
    </w:p>
    <w:p w14:paraId="0966024E" w14:textId="11055580" w:rsidR="00144797" w:rsidRDefault="009048BA" w:rsidP="00455DC3">
      <w:pPr>
        <w:pStyle w:val="NoteToTenderers-ASDEFCON"/>
      </w:pPr>
      <w:r>
        <w:t xml:space="preserve">Note to tenderers:  </w:t>
      </w:r>
      <w:r w:rsidR="00E73810">
        <w:t xml:space="preserve">Tenderers are not required to submit a response for </w:t>
      </w:r>
      <w:r w:rsidR="00BE3D12">
        <w:fldChar w:fldCharType="begin"/>
      </w:r>
      <w:r w:rsidR="00BE3D12">
        <w:instrText xml:space="preserve"> REF _Ref47944345 \h </w:instrText>
      </w:r>
      <w:r w:rsidR="00BE3D12">
        <w:fldChar w:fldCharType="separate"/>
      </w:r>
      <w:r w:rsidR="00006AF2">
        <w:t>Table B-</w:t>
      </w:r>
      <w:r w:rsidR="00006AF2">
        <w:rPr>
          <w:noProof/>
        </w:rPr>
        <w:t>1</w:t>
      </w:r>
      <w:r w:rsidR="00BE3D12">
        <w:fldChar w:fldCharType="end"/>
      </w:r>
      <w:r w:rsidR="00BE3D12">
        <w:t xml:space="preserve"> </w:t>
      </w:r>
      <w:r w:rsidR="00761DD6">
        <w:t>(</w:t>
      </w:r>
      <w:r>
        <w:t>below</w:t>
      </w:r>
      <w:r w:rsidR="00761DD6">
        <w:t>)</w:t>
      </w:r>
      <w:r w:rsidR="00F059BC">
        <w:t>.</w:t>
      </w:r>
      <w:r w:rsidR="009309C1">
        <w:t xml:space="preserve"> </w:t>
      </w:r>
      <w:r w:rsidR="00F059BC">
        <w:t xml:space="preserve"> H</w:t>
      </w:r>
      <w:r w:rsidR="00E73810">
        <w:t>owever, the preferred tenderer will be required to determine</w:t>
      </w:r>
      <w:r>
        <w:t xml:space="preserve"> the </w:t>
      </w:r>
      <w:r w:rsidR="00662E91">
        <w:t xml:space="preserve">planned </w:t>
      </w:r>
      <w:r>
        <w:t xml:space="preserve">ACE </w:t>
      </w:r>
      <w:r w:rsidR="000E3829">
        <w:t xml:space="preserve">and </w:t>
      </w:r>
      <w:r w:rsidR="00662E91">
        <w:t xml:space="preserve">planned </w:t>
      </w:r>
      <w:r w:rsidR="000E3829">
        <w:t>ICE</w:t>
      </w:r>
      <w:r w:rsidR="009309C1">
        <w:t xml:space="preserve"> (as cumulative values from ED)</w:t>
      </w:r>
      <w:r w:rsidR="00106FAD">
        <w:t>,</w:t>
      </w:r>
      <w:r>
        <w:t xml:space="preserve"> and </w:t>
      </w:r>
      <w:r w:rsidR="00132FEE">
        <w:t xml:space="preserve">a </w:t>
      </w:r>
      <w:r w:rsidR="00C37FE3">
        <w:t xml:space="preserve">calculated </w:t>
      </w:r>
      <w:r w:rsidR="000E3829">
        <w:t xml:space="preserve">ACE </w:t>
      </w:r>
      <w:r>
        <w:t>percentage</w:t>
      </w:r>
      <w:r w:rsidR="009309C1">
        <w:t>,</w:t>
      </w:r>
      <w:r>
        <w:t xml:space="preserve"> for each ACE Measurement Point</w:t>
      </w:r>
      <w:r w:rsidR="00F059BC">
        <w:t>,</w:t>
      </w:r>
      <w:r w:rsidR="00F059BC" w:rsidRPr="00F059BC">
        <w:t xml:space="preserve"> </w:t>
      </w:r>
      <w:r w:rsidR="00F059BC">
        <w:t xml:space="preserve">to be included in </w:t>
      </w:r>
      <w:r w:rsidR="00F059BC">
        <w:fldChar w:fldCharType="begin"/>
      </w:r>
      <w:r w:rsidR="00F059BC">
        <w:instrText xml:space="preserve"> REF _Ref47944345 \h </w:instrText>
      </w:r>
      <w:r w:rsidR="00F059BC">
        <w:fldChar w:fldCharType="separate"/>
      </w:r>
      <w:r w:rsidR="00006AF2">
        <w:t>Table B-</w:t>
      </w:r>
      <w:r w:rsidR="00006AF2">
        <w:rPr>
          <w:noProof/>
        </w:rPr>
        <w:t>1</w:t>
      </w:r>
      <w:r w:rsidR="00F059BC">
        <w:fldChar w:fldCharType="end"/>
      </w:r>
      <w:r w:rsidR="00F059BC">
        <w:t xml:space="preserve"> of any resultant Contract</w:t>
      </w:r>
      <w:r>
        <w:t>.</w:t>
      </w:r>
    </w:p>
    <w:p w14:paraId="33860C39" w14:textId="4A0DACB6" w:rsidR="00F15CC2" w:rsidRDefault="009048BA" w:rsidP="000E2DA2">
      <w:pPr>
        <w:pStyle w:val="NoteToTenderers-ASDEFCON"/>
      </w:pPr>
      <w:r>
        <w:t xml:space="preserve">The calculated </w:t>
      </w:r>
      <w:r w:rsidR="00EA11BC">
        <w:t xml:space="preserve">ACE </w:t>
      </w:r>
      <w:r>
        <w:t xml:space="preserve">percentages </w:t>
      </w:r>
      <w:r w:rsidR="00EA11BC">
        <w:t xml:space="preserve">will usually </w:t>
      </w:r>
      <w:r>
        <w:t xml:space="preserve">represent the maximum </w:t>
      </w:r>
      <w:r w:rsidR="00E42E5D">
        <w:t>values for</w:t>
      </w:r>
      <w:r w:rsidR="00F15CC2">
        <w:t xml:space="preserve"> the</w:t>
      </w:r>
      <w:r>
        <w:t xml:space="preserve"> Prescribed ACE Percentage</w:t>
      </w:r>
      <w:r w:rsidR="00EA11BC">
        <w:t>s</w:t>
      </w:r>
      <w:r w:rsidR="00F15CC2">
        <w:t>,</w:t>
      </w:r>
      <w:r>
        <w:t xml:space="preserve"> </w:t>
      </w:r>
      <w:r w:rsidR="009309C1">
        <w:t>to be included in Attachment F of any resultant Contract</w:t>
      </w:r>
      <w:r>
        <w:t>.</w:t>
      </w:r>
      <w:r w:rsidR="00144797">
        <w:t xml:space="preserve">  </w:t>
      </w:r>
      <w:r w:rsidR="000E2DA2">
        <w:t>After ED</w:t>
      </w:r>
      <w:r w:rsidR="00F059BC">
        <w:t>, t</w:t>
      </w:r>
      <w:r w:rsidR="00F15CC2">
        <w:t xml:space="preserve">he </w:t>
      </w:r>
      <w:r w:rsidR="00F15CC2">
        <w:lastRenderedPageBreak/>
        <w:t xml:space="preserve">planned ACE and </w:t>
      </w:r>
      <w:r w:rsidR="00F059BC">
        <w:t xml:space="preserve">planned </w:t>
      </w:r>
      <w:r w:rsidR="00F15CC2">
        <w:t xml:space="preserve">ICE should provide a basis for quantifying appropriate changes to </w:t>
      </w:r>
      <w:r w:rsidR="000E2DA2">
        <w:t xml:space="preserve">the calculated ACE percentages and </w:t>
      </w:r>
      <w:r w:rsidR="00F15CC2">
        <w:t>Prescribed ACE Percentages that result from CCPs.</w:t>
      </w:r>
    </w:p>
    <w:p w14:paraId="6C5B1A2D" w14:textId="4141E7DD" w:rsidR="00761DD6" w:rsidRDefault="00761DD6" w:rsidP="00761DD6">
      <w:pPr>
        <w:pStyle w:val="NoteToTenderers-ASDEFCON"/>
      </w:pPr>
      <w:r>
        <w:t xml:space="preserve">The planned ACE and </w:t>
      </w:r>
      <w:r w:rsidR="000E2DA2">
        <w:t xml:space="preserve">planned </w:t>
      </w:r>
      <w:r>
        <w:t xml:space="preserve">ICE will be expected to include (but not be limited to) the </w:t>
      </w:r>
      <w:r w:rsidR="000E2DA2">
        <w:t>payment</w:t>
      </w:r>
      <w:r w:rsidR="00801E4E">
        <w:t>s</w:t>
      </w:r>
      <w:r w:rsidR="000E2DA2">
        <w:t xml:space="preserve"> up until the applicable Milestone </w:t>
      </w:r>
      <w:r>
        <w:t xml:space="preserve">in the ACQPW (submitted as part of the </w:t>
      </w:r>
      <w:r w:rsidR="000E2DA2">
        <w:t xml:space="preserve">preferred </w:t>
      </w:r>
      <w:r>
        <w:t>tenderer’s response to TDR D-</w:t>
      </w:r>
      <w:r w:rsidR="00801E4E">
        <w:t>3</w:t>
      </w:r>
      <w:r>
        <w:t>).</w:t>
      </w:r>
    </w:p>
    <w:p w14:paraId="4D7B0C49" w14:textId="716E57BE" w:rsidR="00500A22" w:rsidRDefault="00500A22" w:rsidP="0069493F">
      <w:pPr>
        <w:pStyle w:val="COTCOCLV3-ASDEFCON"/>
      </w:pPr>
      <w:r>
        <w:fldChar w:fldCharType="begin"/>
      </w:r>
      <w:r>
        <w:instrText xml:space="preserve"> REF _Ref47944345 \h </w:instrText>
      </w:r>
      <w:r>
        <w:fldChar w:fldCharType="separate"/>
      </w:r>
      <w:r w:rsidR="00006AF2">
        <w:t>Table B-</w:t>
      </w:r>
      <w:r w:rsidR="00006AF2">
        <w:rPr>
          <w:noProof/>
        </w:rPr>
        <w:t>1</w:t>
      </w:r>
      <w:r>
        <w:fldChar w:fldCharType="end"/>
      </w:r>
      <w:r>
        <w:t xml:space="preserve"> identifies, for each ACE Measurement Point (column a), the</w:t>
      </w:r>
      <w:r w:rsidRPr="00DC2AE1">
        <w:t xml:space="preserve"> </w:t>
      </w:r>
      <w:r w:rsidR="009E23B6">
        <w:t xml:space="preserve">planned </w:t>
      </w:r>
      <w:r>
        <w:t>Australian Cont</w:t>
      </w:r>
      <w:r w:rsidR="00852A97">
        <w:t>r</w:t>
      </w:r>
      <w:r>
        <w:t>act Expenditure (ACE)</w:t>
      </w:r>
      <w:r w:rsidRPr="00683764">
        <w:t xml:space="preserve"> </w:t>
      </w:r>
      <w:r>
        <w:t xml:space="preserve">(column b) and </w:t>
      </w:r>
      <w:r w:rsidR="002574CF">
        <w:t>the</w:t>
      </w:r>
      <w:r w:rsidR="009E23B6">
        <w:t xml:space="preserve"> planned</w:t>
      </w:r>
      <w:r w:rsidR="002574CF">
        <w:t xml:space="preserve"> </w:t>
      </w:r>
      <w:r>
        <w:t>Imported Cont</w:t>
      </w:r>
      <w:r w:rsidR="00852A97">
        <w:t>r</w:t>
      </w:r>
      <w:r>
        <w:t>act Expenditure (ICE) (column c), on a cumulative basis (</w:t>
      </w:r>
      <w:proofErr w:type="spellStart"/>
      <w:r w:rsidR="002574CF">
        <w:t>ie</w:t>
      </w:r>
      <w:proofErr w:type="spellEnd"/>
      <w:r w:rsidR="002574CF">
        <w:t xml:space="preserve">, </w:t>
      </w:r>
      <w:r>
        <w:t xml:space="preserve">from ED to </w:t>
      </w:r>
      <w:r w:rsidR="000E3829">
        <w:t>each</w:t>
      </w:r>
      <w:r>
        <w:t xml:space="preserve"> ACE Measurement Point) </w:t>
      </w:r>
      <w:r w:rsidR="00E42E5D">
        <w:t xml:space="preserve">consistent with </w:t>
      </w:r>
      <w:r>
        <w:t>Annex</w:t>
      </w:r>
      <w:r w:rsidR="005860EB">
        <w:t xml:space="preserve"> A</w:t>
      </w:r>
      <w:r w:rsidR="00801E4E">
        <w:t xml:space="preserve"> (Price Schedule) and Annex B (Milestone Payment Schedule)</w:t>
      </w:r>
      <w:r>
        <w:t xml:space="preserve"> to this Attachment B</w:t>
      </w:r>
      <w:r w:rsidR="008F76EA">
        <w:t>.</w:t>
      </w:r>
    </w:p>
    <w:p w14:paraId="4AA17017" w14:textId="518E0425" w:rsidR="00500A22" w:rsidRDefault="00500A22" w:rsidP="00FD186F">
      <w:pPr>
        <w:pStyle w:val="COTCOCLV3-ASDEFCON"/>
      </w:pPr>
      <w:r>
        <w:fldChar w:fldCharType="begin"/>
      </w:r>
      <w:r>
        <w:instrText xml:space="preserve"> REF _Ref47944345 \h </w:instrText>
      </w:r>
      <w:r>
        <w:fldChar w:fldCharType="separate"/>
      </w:r>
      <w:r w:rsidR="00006AF2">
        <w:t>Table B-</w:t>
      </w:r>
      <w:r w:rsidR="00006AF2">
        <w:rPr>
          <w:noProof/>
        </w:rPr>
        <w:t>1</w:t>
      </w:r>
      <w:r>
        <w:fldChar w:fldCharType="end"/>
      </w:r>
      <w:r>
        <w:t xml:space="preserve"> </w:t>
      </w:r>
      <w:r w:rsidR="00B41A97">
        <w:t>also</w:t>
      </w:r>
      <w:r>
        <w:t xml:space="preserve"> identifies a</w:t>
      </w:r>
      <w:r w:rsidR="00B41A97">
        <w:t xml:space="preserve"> calculated</w:t>
      </w:r>
      <w:r>
        <w:t xml:space="preserve"> ACE percentage </w:t>
      </w:r>
      <w:r w:rsidR="002574CF">
        <w:t>(column d)</w:t>
      </w:r>
      <w:r w:rsidR="009C2E87">
        <w:t xml:space="preserve">, for </w:t>
      </w:r>
      <w:r>
        <w:t>each ACE Measurement Point</w:t>
      </w:r>
      <w:r w:rsidR="008F76EA">
        <w:t xml:space="preserve">, </w:t>
      </w:r>
      <w:r w:rsidR="0087367E">
        <w:t xml:space="preserve">determined </w:t>
      </w:r>
      <w:r w:rsidR="008F76EA">
        <w:t>in accordance with the following formula:</w:t>
      </w:r>
    </w:p>
    <w:p w14:paraId="44E57EE3" w14:textId="5E417CF6" w:rsidR="0085460C" w:rsidRPr="0087367E" w:rsidRDefault="001F2D7E" w:rsidP="00455DC3">
      <w:pPr>
        <w:pStyle w:val="ASDEFCONNormal"/>
        <w:ind w:left="851"/>
      </w:pPr>
      <m:oMathPara>
        <m:oMath>
          <m:r>
            <w:rPr>
              <w:rFonts w:ascii="Cambria Math" w:hAnsi="Cambria Math"/>
            </w:rPr>
            <m:t>calculated ACE%=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planned ACE</m:t>
              </m:r>
            </m:num>
            <m:den>
              <m:r>
                <w:rPr>
                  <w:rFonts w:ascii="Cambria Math" w:hAnsi="Cambria Math"/>
                </w:rPr>
                <m:t>planned ACE+planned ICE</m:t>
              </m:r>
            </m:den>
          </m:f>
          <m:r>
            <w:rPr>
              <w:rFonts w:ascii="Cambria Math" w:hAnsi="Cambria Math"/>
            </w:rPr>
            <m:t>*100</m:t>
          </m:r>
        </m:oMath>
      </m:oMathPara>
    </w:p>
    <w:p w14:paraId="560C660C" w14:textId="427D3ED9" w:rsidR="0087367E" w:rsidRDefault="0087367E" w:rsidP="00FD186F">
      <w:pPr>
        <w:pStyle w:val="COTCOCLV3-ASDEFCON"/>
      </w:pPr>
      <w:r>
        <w:t>Prescribed ACE Percentage</w:t>
      </w:r>
      <w:r w:rsidR="00093F54">
        <w:t>s</w:t>
      </w:r>
      <w:r w:rsidR="00462FC1">
        <w:t>,</w:t>
      </w:r>
      <w:r>
        <w:t xml:space="preserve"> </w:t>
      </w:r>
      <w:r w:rsidR="00C37FE3">
        <w:t>included at</w:t>
      </w:r>
      <w:r w:rsidR="00B16EE4">
        <w:t xml:space="preserve"> Attachment F as </w:t>
      </w:r>
      <w:r>
        <w:t>AIC Obligation</w:t>
      </w:r>
      <w:r w:rsidR="00093F54">
        <w:t>s</w:t>
      </w:r>
      <w:r w:rsidR="009171DB">
        <w:t>,</w:t>
      </w:r>
      <w:r w:rsidR="00C37FE3">
        <w:t xml:space="preserve"> shall be based on the corresponding calculated ACE </w:t>
      </w:r>
      <w:r w:rsidR="00616441">
        <w:t>p</w:t>
      </w:r>
      <w:r w:rsidR="00C37FE3">
        <w:t>ercentage</w:t>
      </w:r>
      <w:r w:rsidR="00093F54">
        <w:t>s</w:t>
      </w:r>
      <w:r w:rsidR="00C37FE3">
        <w:t xml:space="preserve"> in Table B-1</w:t>
      </w:r>
      <w:r>
        <w:t>.</w:t>
      </w:r>
    </w:p>
    <w:p w14:paraId="0C52AA1E" w14:textId="42B88F36" w:rsidR="005051FD" w:rsidRDefault="00B16EE4" w:rsidP="00B16EE4">
      <w:pPr>
        <w:pStyle w:val="Note-ASDEFCON"/>
      </w:pPr>
      <w:r>
        <w:t xml:space="preserve">Note: </w:t>
      </w:r>
      <w:r w:rsidR="00F64EB3">
        <w:t xml:space="preserve"> </w:t>
      </w:r>
      <w:r>
        <w:t xml:space="preserve">The Prescribed ACE Percentage may be </w:t>
      </w:r>
      <w:r w:rsidR="00933376">
        <w:t>different to</w:t>
      </w:r>
      <w:r>
        <w:t xml:space="preserve"> the calculated ACE percentage</w:t>
      </w:r>
      <w:r w:rsidR="00AA0D43">
        <w:t>.</w:t>
      </w:r>
    </w:p>
    <w:p w14:paraId="6F4935C9" w14:textId="42EB857E" w:rsidR="009C25AE" w:rsidRDefault="009C25AE" w:rsidP="0047527D">
      <w:pPr>
        <w:pStyle w:val="COTCOCLV3-ASDEFCON"/>
      </w:pPr>
      <w:r>
        <w:t xml:space="preserve">For each CCP prepared in accordance with clause 11.1 of the COC that affects the </w:t>
      </w:r>
      <w:r w:rsidR="00616441">
        <w:t xml:space="preserve">planned </w:t>
      </w:r>
      <w:r>
        <w:t>ACE and</w:t>
      </w:r>
      <w:r w:rsidR="0047527D">
        <w:t>/or</w:t>
      </w:r>
      <w:r>
        <w:t xml:space="preserve"> </w:t>
      </w:r>
      <w:r w:rsidR="00616441">
        <w:t xml:space="preserve">planned </w:t>
      </w:r>
      <w:r>
        <w:t xml:space="preserve">ICE values in </w:t>
      </w:r>
      <w:r>
        <w:fldChar w:fldCharType="begin"/>
      </w:r>
      <w:r>
        <w:instrText xml:space="preserve"> REF _Ref47944345 \h </w:instrText>
      </w:r>
      <w:r>
        <w:fldChar w:fldCharType="separate"/>
      </w:r>
      <w:r w:rsidR="00006AF2">
        <w:t>Table B-</w:t>
      </w:r>
      <w:r w:rsidR="00006AF2">
        <w:rPr>
          <w:noProof/>
        </w:rPr>
        <w:t>1</w:t>
      </w:r>
      <w:r>
        <w:fldChar w:fldCharType="end"/>
      </w:r>
      <w:r>
        <w:t>, the Contract</w:t>
      </w:r>
      <w:r w:rsidR="00C96839" w:rsidRPr="00C071C2">
        <w:t>or</w:t>
      </w:r>
      <w:r>
        <w:t xml:space="preserve"> shall </w:t>
      </w:r>
      <w:r w:rsidR="0047527D">
        <w:t xml:space="preserve">prepare, </w:t>
      </w:r>
      <w:r w:rsidR="007F75FB">
        <w:t>as part of</w:t>
      </w:r>
      <w:r>
        <w:t xml:space="preserve"> the CCP, changes to </w:t>
      </w:r>
      <w:r>
        <w:fldChar w:fldCharType="begin"/>
      </w:r>
      <w:r>
        <w:instrText xml:space="preserve"> REF _Ref47944345 \h </w:instrText>
      </w:r>
      <w:r>
        <w:fldChar w:fldCharType="separate"/>
      </w:r>
      <w:r w:rsidR="00006AF2">
        <w:t>Table B-</w:t>
      </w:r>
      <w:r w:rsidR="00006AF2">
        <w:rPr>
          <w:noProof/>
        </w:rPr>
        <w:t>1</w:t>
      </w:r>
      <w:r>
        <w:fldChar w:fldCharType="end"/>
      </w:r>
      <w:r>
        <w:t xml:space="preserve"> and</w:t>
      </w:r>
      <w:r w:rsidR="0047527D">
        <w:t>, when</w:t>
      </w:r>
      <w:r>
        <w:t xml:space="preserve"> applicable,</w:t>
      </w:r>
      <w:r w:rsidR="0047527D">
        <w:t xml:space="preserve"> changes to the Prescribed ACE Percentages under</w:t>
      </w:r>
      <w:r>
        <w:t xml:space="preserve"> clause 4 of Attachment F.</w:t>
      </w:r>
    </w:p>
    <w:p w14:paraId="68013646" w14:textId="6417D719" w:rsidR="00A22FE7" w:rsidRDefault="00A22FE7" w:rsidP="009D5A16">
      <w:pPr>
        <w:pStyle w:val="NoteToDrafters-ASDEFCON"/>
      </w:pPr>
      <w:r>
        <w:t xml:space="preserve">Note to drafters: </w:t>
      </w:r>
      <w:r w:rsidR="000E17A9">
        <w:t xml:space="preserve"> </w:t>
      </w:r>
      <w:r w:rsidR="009D17DB">
        <w:t>Enter t</w:t>
      </w:r>
      <w:r>
        <w:t>he ACE Measurement Points in</w:t>
      </w:r>
      <w:r w:rsidR="001345DA">
        <w:t>to</w:t>
      </w:r>
      <w:r>
        <w:t xml:space="preserve"> </w:t>
      </w:r>
      <w:r>
        <w:fldChar w:fldCharType="begin"/>
      </w:r>
      <w:r>
        <w:instrText xml:space="preserve"> REF _Ref47944345 \h </w:instrText>
      </w:r>
      <w:r>
        <w:fldChar w:fldCharType="separate"/>
      </w:r>
      <w:r w:rsidR="00006AF2">
        <w:t>Table B-</w:t>
      </w:r>
      <w:r w:rsidR="00006AF2">
        <w:rPr>
          <w:noProof/>
        </w:rPr>
        <w:t>1</w:t>
      </w:r>
      <w:r>
        <w:fldChar w:fldCharType="end"/>
      </w:r>
      <w:r w:rsidR="009D17DB">
        <w:t>.</w:t>
      </w:r>
      <w:r w:rsidR="008E565D">
        <w:t xml:space="preserve"> </w:t>
      </w:r>
      <w:r>
        <w:t xml:space="preserve"> </w:t>
      </w:r>
      <w:r w:rsidR="009D17DB">
        <w:t>These</w:t>
      </w:r>
      <w:r w:rsidR="001345DA">
        <w:t xml:space="preserve"> </w:t>
      </w:r>
      <w:r>
        <w:t xml:space="preserve">should match the ACE Measurement Points </w:t>
      </w:r>
      <w:r w:rsidR="009D17DB">
        <w:t xml:space="preserve">in </w:t>
      </w:r>
      <w:r w:rsidR="003C5859">
        <w:t>draft Attachment F</w:t>
      </w:r>
      <w:r>
        <w:t>.</w:t>
      </w:r>
    </w:p>
    <w:p w14:paraId="1202EECF" w14:textId="724C6319" w:rsidR="002B2F22" w:rsidRDefault="002B2F22" w:rsidP="005051FD">
      <w:pPr>
        <w:pStyle w:val="Table10ptHeading-ASDEFCON"/>
      </w:pPr>
      <w:bookmarkStart w:id="152" w:name="_Ref47944345"/>
      <w:r>
        <w:t>Table B-</w:t>
      </w:r>
      <w:r w:rsidR="006C18E1">
        <w:fldChar w:fldCharType="begin"/>
      </w:r>
      <w:r w:rsidR="006C18E1">
        <w:instrText xml:space="preserve"> SEQ Table \* ARABIC </w:instrText>
      </w:r>
      <w:r w:rsidR="006C18E1">
        <w:fldChar w:fldCharType="separate"/>
      </w:r>
      <w:r w:rsidR="00006AF2">
        <w:rPr>
          <w:noProof/>
        </w:rPr>
        <w:t>1</w:t>
      </w:r>
      <w:r w:rsidR="006C18E1">
        <w:rPr>
          <w:noProof/>
        </w:rPr>
        <w:fldChar w:fldCharType="end"/>
      </w:r>
      <w:bookmarkEnd w:id="152"/>
      <w:r>
        <w:t xml:space="preserve">: </w:t>
      </w:r>
      <w:r w:rsidRPr="008252F6">
        <w:t xml:space="preserve">ACE Measurement Points and </w:t>
      </w:r>
      <w:r w:rsidR="0085460C">
        <w:t>calculated</w:t>
      </w:r>
      <w:r w:rsidRPr="008252F6">
        <w:t xml:space="preserve"> ACE </w:t>
      </w:r>
      <w:r w:rsidR="00B15F4C" w:rsidRPr="008252F6">
        <w:t>percentage</w:t>
      </w:r>
      <w:r w:rsidR="00B15F4C">
        <w:t>s</w:t>
      </w:r>
    </w:p>
    <w:tbl>
      <w:tblPr>
        <w:tblStyle w:val="TableGrid1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1795"/>
        <w:gridCol w:w="1795"/>
        <w:gridCol w:w="1796"/>
      </w:tblGrid>
      <w:tr w:rsidR="00C37FE3" w:rsidRPr="00730D7F" w14:paraId="1F8073D3" w14:textId="138FC07E" w:rsidTr="00B36547">
        <w:trPr>
          <w:cantSplit/>
        </w:trPr>
        <w:tc>
          <w:tcPr>
            <w:tcW w:w="3681" w:type="dxa"/>
            <w:shd w:val="pct10" w:color="auto" w:fill="auto"/>
          </w:tcPr>
          <w:p w14:paraId="15903832" w14:textId="190FF435" w:rsidR="00C37FE3" w:rsidRPr="00866302" w:rsidRDefault="00C37FE3" w:rsidP="008C2392">
            <w:pPr>
              <w:pStyle w:val="Table8ptHeading-ASDEFCON"/>
            </w:pPr>
            <w:r w:rsidRPr="00866302">
              <w:t>ACE Measurement Point</w:t>
            </w:r>
            <w:r w:rsidRPr="00866302">
              <w:br/>
              <w:t>(in accordance with Attachment F)</w:t>
            </w:r>
            <w:r w:rsidRPr="00866302">
              <w:br/>
              <w:t>(a)</w:t>
            </w:r>
          </w:p>
        </w:tc>
        <w:tc>
          <w:tcPr>
            <w:tcW w:w="1795" w:type="dxa"/>
            <w:shd w:val="pct10" w:color="auto" w:fill="auto"/>
          </w:tcPr>
          <w:p w14:paraId="31130D42" w14:textId="0864ECC6" w:rsidR="00C37FE3" w:rsidRPr="00866302" w:rsidRDefault="00F75B13" w:rsidP="008C2392">
            <w:pPr>
              <w:pStyle w:val="Table8ptHeading-ASDEFCON"/>
            </w:pPr>
            <w:r>
              <w:t>Planned</w:t>
            </w:r>
            <w:r w:rsidRPr="00866302">
              <w:t xml:space="preserve"> </w:t>
            </w:r>
            <w:r w:rsidR="00C37FE3" w:rsidRPr="00866302">
              <w:t>ACE ($)</w:t>
            </w:r>
            <w:r w:rsidR="00C37FE3" w:rsidRPr="00866302">
              <w:br/>
              <w:t>(b)</w:t>
            </w:r>
          </w:p>
        </w:tc>
        <w:tc>
          <w:tcPr>
            <w:tcW w:w="1795" w:type="dxa"/>
            <w:shd w:val="pct10" w:color="auto" w:fill="auto"/>
          </w:tcPr>
          <w:p w14:paraId="75C77BC8" w14:textId="22DC2DEA" w:rsidR="00C37FE3" w:rsidRPr="00866302" w:rsidRDefault="00F75B13" w:rsidP="008C2392">
            <w:pPr>
              <w:pStyle w:val="Table8ptHeading-ASDEFCON"/>
            </w:pPr>
            <w:r>
              <w:t>Planned</w:t>
            </w:r>
            <w:r w:rsidRPr="00866302">
              <w:t xml:space="preserve"> </w:t>
            </w:r>
            <w:r w:rsidR="00C37FE3" w:rsidRPr="00866302">
              <w:t>ICE ($)</w:t>
            </w:r>
            <w:r w:rsidR="00C37FE3">
              <w:br/>
            </w:r>
            <w:r w:rsidR="00C37FE3" w:rsidRPr="00866302">
              <w:t>(c)</w:t>
            </w:r>
          </w:p>
        </w:tc>
        <w:tc>
          <w:tcPr>
            <w:tcW w:w="1796" w:type="dxa"/>
            <w:shd w:val="pct10" w:color="auto" w:fill="auto"/>
          </w:tcPr>
          <w:p w14:paraId="58C88418" w14:textId="140A34AD" w:rsidR="00C37FE3" w:rsidRPr="00866302" w:rsidRDefault="00C37FE3" w:rsidP="008C2392">
            <w:pPr>
              <w:pStyle w:val="Table8ptHeading-ASDEFCON"/>
            </w:pPr>
            <w:r w:rsidRPr="00866302">
              <w:t xml:space="preserve">Calculated ACE% </w:t>
            </w:r>
            <w:r w:rsidRPr="00866302">
              <w:br/>
              <w:t>(d)</w:t>
            </w:r>
          </w:p>
        </w:tc>
      </w:tr>
      <w:tr w:rsidR="00C37FE3" w14:paraId="476F6848" w14:textId="6417353A" w:rsidTr="00651B6E">
        <w:trPr>
          <w:cantSplit/>
        </w:trPr>
        <w:tc>
          <w:tcPr>
            <w:tcW w:w="3681" w:type="dxa"/>
          </w:tcPr>
          <w:p w14:paraId="1DE816BC" w14:textId="77777777" w:rsidR="00C37FE3" w:rsidRPr="00866302" w:rsidRDefault="00C37FE3" w:rsidP="008C2392">
            <w:pPr>
              <w:pStyle w:val="Table8ptText-ASDEFCON"/>
            </w:pPr>
          </w:p>
        </w:tc>
        <w:tc>
          <w:tcPr>
            <w:tcW w:w="1795" w:type="dxa"/>
          </w:tcPr>
          <w:p w14:paraId="1DAF05BD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5" w:type="dxa"/>
          </w:tcPr>
          <w:p w14:paraId="5F44D1E0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6" w:type="dxa"/>
          </w:tcPr>
          <w:p w14:paraId="6BBCDCCC" w14:textId="04C941E7" w:rsidR="00C37FE3" w:rsidRPr="000F7B60" w:rsidRDefault="00C37FE3" w:rsidP="008C2392">
            <w:pPr>
              <w:pStyle w:val="Table8ptText-ASDEFCON"/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>
                    <w:default w:val="(  )"/>
                  </w:textInput>
                </w:ffData>
              </w:fldChar>
            </w:r>
            <w:r>
              <w:instrText xml:space="preserve"> </w:instrText>
            </w:r>
            <w:bookmarkStart w:id="153" w:name="Text14"/>
            <w:r>
              <w:instrText xml:space="preserve">FORMTEXT </w:instrText>
            </w:r>
            <w:r>
              <w:fldChar w:fldCharType="separate"/>
            </w:r>
            <w:r w:rsidR="00006AF2">
              <w:rPr>
                <w:noProof/>
              </w:rPr>
              <w:t>(  )</w:t>
            </w:r>
            <w:r>
              <w:fldChar w:fldCharType="end"/>
            </w:r>
            <w:bookmarkEnd w:id="153"/>
            <w:r w:rsidRPr="000F7B60">
              <w:t>%</w:t>
            </w:r>
          </w:p>
        </w:tc>
      </w:tr>
      <w:tr w:rsidR="00C37FE3" w14:paraId="325FF0B2" w14:textId="6C73064A" w:rsidTr="00651B6E">
        <w:trPr>
          <w:cantSplit/>
        </w:trPr>
        <w:tc>
          <w:tcPr>
            <w:tcW w:w="3681" w:type="dxa"/>
          </w:tcPr>
          <w:p w14:paraId="17C95D97" w14:textId="77777777" w:rsidR="00C37FE3" w:rsidRPr="00866302" w:rsidRDefault="00C37FE3" w:rsidP="008C2392">
            <w:pPr>
              <w:pStyle w:val="Table8ptText-ASDEFCON"/>
            </w:pPr>
          </w:p>
        </w:tc>
        <w:tc>
          <w:tcPr>
            <w:tcW w:w="1795" w:type="dxa"/>
          </w:tcPr>
          <w:p w14:paraId="23182713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5" w:type="dxa"/>
          </w:tcPr>
          <w:p w14:paraId="709FC6BC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6" w:type="dxa"/>
          </w:tcPr>
          <w:p w14:paraId="3C981B66" w14:textId="597B5D07" w:rsidR="00C37FE3" w:rsidRPr="000F7B60" w:rsidRDefault="00C37FE3" w:rsidP="008C2392">
            <w:pPr>
              <w:pStyle w:val="Table8ptText-ASDEFCON"/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>
                    <w:default w:val="(  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06AF2">
              <w:rPr>
                <w:noProof/>
              </w:rPr>
              <w:t>(  )</w:t>
            </w:r>
            <w:r>
              <w:fldChar w:fldCharType="end"/>
            </w:r>
            <w:r w:rsidRPr="000F7B60">
              <w:t>%</w:t>
            </w:r>
          </w:p>
        </w:tc>
      </w:tr>
      <w:tr w:rsidR="00C37FE3" w14:paraId="569B8170" w14:textId="11A7B25D" w:rsidTr="00651B6E">
        <w:trPr>
          <w:cantSplit/>
        </w:trPr>
        <w:tc>
          <w:tcPr>
            <w:tcW w:w="3681" w:type="dxa"/>
          </w:tcPr>
          <w:p w14:paraId="18007AD5" w14:textId="77777777" w:rsidR="00C37FE3" w:rsidRPr="00866302" w:rsidRDefault="00C37FE3" w:rsidP="008C2392">
            <w:pPr>
              <w:pStyle w:val="Table8ptText-ASDEFCON"/>
            </w:pPr>
          </w:p>
        </w:tc>
        <w:tc>
          <w:tcPr>
            <w:tcW w:w="1795" w:type="dxa"/>
          </w:tcPr>
          <w:p w14:paraId="526BCF31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5" w:type="dxa"/>
          </w:tcPr>
          <w:p w14:paraId="6D5F029E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6" w:type="dxa"/>
          </w:tcPr>
          <w:p w14:paraId="65750DB3" w14:textId="3AF5F010" w:rsidR="00C37FE3" w:rsidRPr="000F7B60" w:rsidRDefault="00C37FE3" w:rsidP="008C2392">
            <w:pPr>
              <w:pStyle w:val="Table8ptText-ASDEFCON"/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>
                    <w:default w:val="(  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06AF2">
              <w:rPr>
                <w:noProof/>
              </w:rPr>
              <w:t>(  )</w:t>
            </w:r>
            <w:r>
              <w:fldChar w:fldCharType="end"/>
            </w:r>
            <w:r w:rsidRPr="000F7B60">
              <w:t>%</w:t>
            </w:r>
          </w:p>
        </w:tc>
      </w:tr>
      <w:tr w:rsidR="00C37FE3" w14:paraId="0A78F38F" w14:textId="6210693E" w:rsidTr="00651B6E">
        <w:trPr>
          <w:cantSplit/>
        </w:trPr>
        <w:tc>
          <w:tcPr>
            <w:tcW w:w="3681" w:type="dxa"/>
          </w:tcPr>
          <w:p w14:paraId="26C197BB" w14:textId="77777777" w:rsidR="00C37FE3" w:rsidRPr="00866302" w:rsidRDefault="00C37FE3" w:rsidP="008C2392">
            <w:pPr>
              <w:pStyle w:val="Table8ptText-ASDEFCON"/>
            </w:pPr>
          </w:p>
        </w:tc>
        <w:tc>
          <w:tcPr>
            <w:tcW w:w="1795" w:type="dxa"/>
          </w:tcPr>
          <w:p w14:paraId="3381137D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5" w:type="dxa"/>
          </w:tcPr>
          <w:p w14:paraId="685771CC" w14:textId="77777777" w:rsidR="00C37FE3" w:rsidRPr="00156CE3" w:rsidRDefault="00C37FE3" w:rsidP="008C2392">
            <w:pPr>
              <w:pStyle w:val="Table8ptText-ASDEFCON"/>
              <w:jc w:val="center"/>
            </w:pPr>
          </w:p>
        </w:tc>
        <w:tc>
          <w:tcPr>
            <w:tcW w:w="1796" w:type="dxa"/>
          </w:tcPr>
          <w:p w14:paraId="6BE6A5F1" w14:textId="1FD4B108" w:rsidR="00C37FE3" w:rsidRPr="000F7B60" w:rsidRDefault="00C37FE3" w:rsidP="008C2392">
            <w:pPr>
              <w:pStyle w:val="Table8ptText-ASDEFCON"/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>
                    <w:default w:val="(  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06AF2">
              <w:rPr>
                <w:noProof/>
              </w:rPr>
              <w:t>(  )</w:t>
            </w:r>
            <w:r>
              <w:fldChar w:fldCharType="end"/>
            </w:r>
            <w:r w:rsidRPr="000F7B60">
              <w:t>%</w:t>
            </w:r>
          </w:p>
        </w:tc>
      </w:tr>
    </w:tbl>
    <w:p w14:paraId="5D2462BB" w14:textId="77777777" w:rsidR="002B2F22" w:rsidRDefault="002B2F22" w:rsidP="002B2F22">
      <w:pPr>
        <w:pStyle w:val="ASDEFCONOptionSpace"/>
      </w:pPr>
    </w:p>
    <w:p w14:paraId="3F7308A7" w14:textId="77777777" w:rsidR="0069493F" w:rsidRPr="003570E8" w:rsidRDefault="0069493F" w:rsidP="009E20B9">
      <w:pPr>
        <w:pStyle w:val="ASDEFCONOptionSpace"/>
      </w:pPr>
    </w:p>
    <w:p w14:paraId="3B1FB4BA" w14:textId="58171868" w:rsidR="0069493F" w:rsidRDefault="0069493F" w:rsidP="0069493F">
      <w:pPr>
        <w:pStyle w:val="COTCOCLV2-ASDEFCON"/>
      </w:pPr>
      <w:r>
        <w:t xml:space="preserve">Alternate </w:t>
      </w:r>
      <w:r w:rsidR="00B60AC8">
        <w:t xml:space="preserve">and Additional </w:t>
      </w:r>
      <w:r>
        <w:t>Deeming Rates (RFT Core)</w:t>
      </w:r>
    </w:p>
    <w:p w14:paraId="4057BA30" w14:textId="7A946181" w:rsidR="0048764E" w:rsidRDefault="0069493F" w:rsidP="00595A8F">
      <w:pPr>
        <w:pStyle w:val="NoteToDrafters-ASDEFCON"/>
      </w:pPr>
      <w:r>
        <w:t xml:space="preserve">Note to drafters: </w:t>
      </w:r>
      <w:r w:rsidR="000A4F96">
        <w:t xml:space="preserve"> </w:t>
      </w:r>
      <w:r w:rsidR="002B2F22">
        <w:fldChar w:fldCharType="begin"/>
      </w:r>
      <w:r w:rsidR="002B2F22">
        <w:instrText xml:space="preserve"> REF _Ref74311223 \h </w:instrText>
      </w:r>
      <w:r w:rsidR="002B2F22">
        <w:fldChar w:fldCharType="separate"/>
      </w:r>
      <w:r w:rsidR="00006AF2">
        <w:t>Table B-</w:t>
      </w:r>
      <w:r w:rsidR="00006AF2">
        <w:rPr>
          <w:noProof/>
        </w:rPr>
        <w:t>2</w:t>
      </w:r>
      <w:r w:rsidR="002B2F22">
        <w:fldChar w:fldCharType="end"/>
      </w:r>
      <w:r w:rsidR="002B2F22">
        <w:t xml:space="preserve"> </w:t>
      </w:r>
      <w:r>
        <w:t xml:space="preserve">may be pre-populated </w:t>
      </w:r>
      <w:r w:rsidR="0048764E">
        <w:t xml:space="preserve">by the drafter </w:t>
      </w:r>
      <w:r>
        <w:t>with alternative</w:t>
      </w:r>
      <w:r w:rsidR="0048764E">
        <w:t xml:space="preserve"> and/or additional</w:t>
      </w:r>
      <w:r>
        <w:t xml:space="preserve"> deeming rates, prior to tendering, when the Commonwealth </w:t>
      </w:r>
      <w:r w:rsidR="002B2F22">
        <w:t>considers</w:t>
      </w:r>
      <w:r>
        <w:t xml:space="preserve"> that deeming rates other than those listed in the ACE Measurement Rules should be applied to the proposed Contract.</w:t>
      </w:r>
    </w:p>
    <w:p w14:paraId="675BA881" w14:textId="457B4DEA" w:rsidR="00DB53B5" w:rsidRDefault="00DB53B5" w:rsidP="00455DC3">
      <w:pPr>
        <w:pStyle w:val="NoteToTenderers-ASDEFCON"/>
      </w:pPr>
      <w:r>
        <w:t xml:space="preserve">Note to tenderers:  </w:t>
      </w:r>
      <w:r w:rsidR="00E225DD">
        <w:t>T</w:t>
      </w:r>
      <w:r>
        <w:t xml:space="preserve">he Commonwealth </w:t>
      </w:r>
      <w:r w:rsidR="00E225DD">
        <w:t xml:space="preserve">will </w:t>
      </w:r>
      <w:r>
        <w:t xml:space="preserve">consider deeming rates other than those listed in the ACE Measurement Rules </w:t>
      </w:r>
      <w:r w:rsidR="00E225DD">
        <w:t>for</w:t>
      </w:r>
      <w:r>
        <w:t xml:space="preserve"> the proposed Contract</w:t>
      </w:r>
      <w:r w:rsidR="00E225DD">
        <w:t>.</w:t>
      </w:r>
      <w:r>
        <w:t xml:space="preserve"> </w:t>
      </w:r>
      <w:r w:rsidR="00E225DD">
        <w:t xml:space="preserve"> </w:t>
      </w:r>
      <w:r>
        <w:fldChar w:fldCharType="begin"/>
      </w:r>
      <w:r>
        <w:instrText xml:space="preserve"> REF _Ref74311223 \h </w:instrText>
      </w:r>
      <w:r>
        <w:fldChar w:fldCharType="separate"/>
      </w:r>
      <w:r w:rsidR="00006AF2">
        <w:t>Table B-</w:t>
      </w:r>
      <w:r w:rsidR="00006AF2">
        <w:rPr>
          <w:noProof/>
        </w:rPr>
        <w:t>2</w:t>
      </w:r>
      <w:r>
        <w:fldChar w:fldCharType="end"/>
      </w:r>
      <w:r>
        <w:t xml:space="preserve"> will consist of the successful tenderer’s response to TDR D-11,</w:t>
      </w:r>
      <w:r w:rsidRPr="002A29EA">
        <w:t xml:space="preserve"> </w:t>
      </w:r>
      <w:r>
        <w:t>and any negotiated adjustments.</w:t>
      </w:r>
    </w:p>
    <w:p w14:paraId="2331C1D0" w14:textId="44634A25" w:rsidR="0069493F" w:rsidRPr="00C071C2" w:rsidRDefault="00C071C2" w:rsidP="007A37C4">
      <w:pPr>
        <w:pStyle w:val="COTCOCLV3-ASDEFCON"/>
      </w:pPr>
      <w:r>
        <w:fldChar w:fldCharType="begin"/>
      </w:r>
      <w:r>
        <w:instrText xml:space="preserve"> REF _Ref74311223 \h </w:instrText>
      </w:r>
      <w:r>
        <w:fldChar w:fldCharType="separate"/>
      </w:r>
      <w:r w:rsidR="00006AF2">
        <w:t>Table B-</w:t>
      </w:r>
      <w:r w:rsidR="00006AF2">
        <w:rPr>
          <w:noProof/>
        </w:rPr>
        <w:t>2</w:t>
      </w:r>
      <w:r>
        <w:fldChar w:fldCharType="end"/>
      </w:r>
      <w:r>
        <w:t xml:space="preserve"> </w:t>
      </w:r>
      <w:r w:rsidR="007A37C4" w:rsidRPr="00C071C2">
        <w:t xml:space="preserve">below specifies </w:t>
      </w:r>
      <w:r w:rsidR="0099680C" w:rsidRPr="00C071C2">
        <w:t xml:space="preserve">alternate </w:t>
      </w:r>
      <w:r w:rsidR="007A37C4" w:rsidRPr="00C071C2">
        <w:t xml:space="preserve">or </w:t>
      </w:r>
      <w:r w:rsidR="0099680C" w:rsidRPr="00C071C2">
        <w:t xml:space="preserve">additional </w:t>
      </w:r>
      <w:r w:rsidR="007A37C4" w:rsidRPr="00C071C2">
        <w:t xml:space="preserve">Subcontract categories, thresholds and deemed ACE and ICE </w:t>
      </w:r>
      <w:r w:rsidR="00DE05F7" w:rsidRPr="00BB7EA7">
        <w:t xml:space="preserve">percentages </w:t>
      </w:r>
      <w:r w:rsidR="007A37C4" w:rsidRPr="00C071C2">
        <w:t xml:space="preserve">for the purposes of the application of this </w:t>
      </w:r>
      <w:r w:rsidR="005A63C6">
        <w:t>paragraph</w:t>
      </w:r>
      <w:r w:rsidR="007A37C4" w:rsidRPr="00C071C2">
        <w:t xml:space="preserve"> 3</w:t>
      </w:r>
      <w:r w:rsidR="00DE05F7" w:rsidRPr="00C071C2">
        <w:t xml:space="preserve"> of the ACE Measurement Rules.</w:t>
      </w:r>
    </w:p>
    <w:p w14:paraId="5A55356A" w14:textId="1B2B76BB" w:rsidR="0069493F" w:rsidRDefault="0069493F" w:rsidP="005051FD">
      <w:pPr>
        <w:pStyle w:val="Table10ptHeading-ASDEFCON"/>
      </w:pPr>
      <w:bookmarkStart w:id="154" w:name="_Ref74311223"/>
      <w:r>
        <w:t xml:space="preserve">Table </w:t>
      </w:r>
      <w:r w:rsidR="00556551">
        <w:t>B</w:t>
      </w:r>
      <w:r>
        <w:t>-</w:t>
      </w:r>
      <w:r w:rsidR="006C18E1">
        <w:fldChar w:fldCharType="begin"/>
      </w:r>
      <w:r w:rsidR="006C18E1">
        <w:instrText xml:space="preserve"> SEQ Table \* ARABIC </w:instrText>
      </w:r>
      <w:r w:rsidR="006C18E1">
        <w:fldChar w:fldCharType="separate"/>
      </w:r>
      <w:r w:rsidR="00006AF2">
        <w:rPr>
          <w:noProof/>
        </w:rPr>
        <w:t>2</w:t>
      </w:r>
      <w:r w:rsidR="006C18E1">
        <w:rPr>
          <w:noProof/>
        </w:rPr>
        <w:fldChar w:fldCharType="end"/>
      </w:r>
      <w:bookmarkEnd w:id="154"/>
      <w:r w:rsidR="00B60AC8">
        <w:t>: Approved Alternat</w:t>
      </w:r>
      <w:r>
        <w:t xml:space="preserve">e </w:t>
      </w:r>
      <w:r w:rsidR="00B60AC8">
        <w:t xml:space="preserve">and Additional </w:t>
      </w:r>
      <w:r>
        <w:t>Deeming Rates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1843"/>
        <w:gridCol w:w="1933"/>
      </w:tblGrid>
      <w:tr w:rsidR="0069493F" w:rsidRPr="00CC4781" w14:paraId="621B8EA4" w14:textId="77777777" w:rsidTr="00C41F7D">
        <w:trPr>
          <w:trHeight w:val="182"/>
          <w:tblHeader/>
        </w:trPr>
        <w:tc>
          <w:tcPr>
            <w:tcW w:w="3114" w:type="dxa"/>
            <w:vMerge w:val="restart"/>
            <w:shd w:val="pct10" w:color="auto" w:fill="auto"/>
          </w:tcPr>
          <w:p w14:paraId="11EF0E0F" w14:textId="77777777" w:rsidR="0069493F" w:rsidRPr="00CC4781" w:rsidRDefault="0069493F" w:rsidP="008C2392">
            <w:pPr>
              <w:pStyle w:val="Table8ptHeading-ASDEFCON"/>
            </w:pPr>
            <w:r w:rsidRPr="00CC4781">
              <w:t xml:space="preserve">Nature of </w:t>
            </w:r>
            <w:r>
              <w:t xml:space="preserve">cost category / </w:t>
            </w:r>
            <w:r w:rsidRPr="00CC4781">
              <w:t>Subcontractor work</w:t>
            </w:r>
          </w:p>
          <w:p w14:paraId="1AFB142B" w14:textId="77777777" w:rsidR="0069493F" w:rsidRPr="00CC4781" w:rsidRDefault="0069493F" w:rsidP="008C2392">
            <w:pPr>
              <w:pStyle w:val="Table8ptHeading-ASDEFCON"/>
            </w:pPr>
          </w:p>
        </w:tc>
        <w:tc>
          <w:tcPr>
            <w:tcW w:w="2126" w:type="dxa"/>
            <w:vMerge w:val="restart"/>
            <w:shd w:val="pct10" w:color="auto" w:fill="auto"/>
          </w:tcPr>
          <w:p w14:paraId="2D416A5F" w14:textId="77777777" w:rsidR="0069493F" w:rsidRPr="00CC4781" w:rsidRDefault="0069493F" w:rsidP="008C2392">
            <w:pPr>
              <w:pStyle w:val="Table8ptHeading-ASDEFCON"/>
            </w:pPr>
            <w:r>
              <w:t>Applicable Threshold (GST exclusive)</w:t>
            </w:r>
          </w:p>
        </w:tc>
        <w:tc>
          <w:tcPr>
            <w:tcW w:w="3776" w:type="dxa"/>
            <w:gridSpan w:val="2"/>
            <w:shd w:val="pct10" w:color="auto" w:fill="auto"/>
          </w:tcPr>
          <w:p w14:paraId="419A938E" w14:textId="77777777" w:rsidR="0069493F" w:rsidRPr="00CC4781" w:rsidRDefault="0069493F" w:rsidP="008C2392">
            <w:pPr>
              <w:pStyle w:val="Table8ptHeading-ASDEFCON"/>
            </w:pPr>
            <w:r w:rsidRPr="00CC4781">
              <w:t xml:space="preserve">Deemed Australian Contract Expenditure and Imported </w:t>
            </w:r>
            <w:r w:rsidRPr="00517D77">
              <w:t>Contract Expenditure</w:t>
            </w:r>
          </w:p>
        </w:tc>
      </w:tr>
      <w:tr w:rsidR="0069493F" w:rsidRPr="00CC4781" w14:paraId="4946FF26" w14:textId="77777777" w:rsidTr="00C41F7D">
        <w:trPr>
          <w:trHeight w:val="182"/>
          <w:tblHeader/>
        </w:trPr>
        <w:tc>
          <w:tcPr>
            <w:tcW w:w="3114" w:type="dxa"/>
            <w:vMerge/>
            <w:shd w:val="pct10" w:color="auto" w:fill="auto"/>
          </w:tcPr>
          <w:p w14:paraId="563C2489" w14:textId="77777777" w:rsidR="0069493F" w:rsidRPr="00CC4781" w:rsidRDefault="0069493F" w:rsidP="008C2392">
            <w:pPr>
              <w:pStyle w:val="Table8ptHeading-ASDEFCON"/>
            </w:pPr>
          </w:p>
        </w:tc>
        <w:tc>
          <w:tcPr>
            <w:tcW w:w="2126" w:type="dxa"/>
            <w:vMerge/>
            <w:shd w:val="pct10" w:color="auto" w:fill="auto"/>
          </w:tcPr>
          <w:p w14:paraId="5C527861" w14:textId="77777777" w:rsidR="0069493F" w:rsidRPr="00CC4781" w:rsidRDefault="0069493F" w:rsidP="008C2392">
            <w:pPr>
              <w:pStyle w:val="Table8ptHeading-ASDEFCON"/>
            </w:pPr>
          </w:p>
        </w:tc>
        <w:tc>
          <w:tcPr>
            <w:tcW w:w="1843" w:type="dxa"/>
            <w:shd w:val="pct10" w:color="auto" w:fill="auto"/>
          </w:tcPr>
          <w:p w14:paraId="62E10E8F" w14:textId="77777777" w:rsidR="0069493F" w:rsidRPr="00CC4781" w:rsidRDefault="0069493F" w:rsidP="008C2392">
            <w:pPr>
              <w:pStyle w:val="Table8ptHeading-ASDEFCON"/>
            </w:pPr>
            <w:r w:rsidRPr="00CC4781">
              <w:t>Australian Contract Expenditure</w:t>
            </w:r>
          </w:p>
        </w:tc>
        <w:tc>
          <w:tcPr>
            <w:tcW w:w="1933" w:type="dxa"/>
            <w:shd w:val="pct10" w:color="auto" w:fill="auto"/>
          </w:tcPr>
          <w:p w14:paraId="6EF85E4F" w14:textId="77777777" w:rsidR="0069493F" w:rsidRPr="00CC4781" w:rsidRDefault="0069493F" w:rsidP="008C2392">
            <w:pPr>
              <w:pStyle w:val="Table8ptHeading-ASDEFCON"/>
            </w:pPr>
            <w:r w:rsidRPr="00CC4781">
              <w:t xml:space="preserve">Imported </w:t>
            </w:r>
            <w:r w:rsidRPr="00517D77">
              <w:t>Contract Expenditure</w:t>
            </w:r>
          </w:p>
        </w:tc>
      </w:tr>
      <w:tr w:rsidR="0069493F" w:rsidRPr="00CC4781" w14:paraId="646C696C" w14:textId="77777777" w:rsidTr="00CA1A58">
        <w:tc>
          <w:tcPr>
            <w:tcW w:w="3114" w:type="dxa"/>
            <w:shd w:val="clear" w:color="auto" w:fill="auto"/>
          </w:tcPr>
          <w:p w14:paraId="43B737C9" w14:textId="5F6A1D33" w:rsidR="0069493F" w:rsidRPr="00FD3EEA" w:rsidRDefault="0069493F" w:rsidP="008C2392">
            <w:pPr>
              <w:pStyle w:val="Table8ptText-ASDEFCON"/>
            </w:pPr>
            <w:r w:rsidRPr="00FD3EEA">
              <w:fldChar w:fldCharType="begin">
                <w:ffData>
                  <w:name w:val=""/>
                  <w:enabled/>
                  <w:calcOnExit w:val="0"/>
                  <w:textInput>
                    <w:default w:val="(…INSERT description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description...)</w:t>
            </w:r>
            <w:r w:rsidRPr="00FD3EEA">
              <w:fldChar w:fldCharType="end"/>
            </w:r>
          </w:p>
        </w:tc>
        <w:tc>
          <w:tcPr>
            <w:tcW w:w="2126" w:type="dxa"/>
          </w:tcPr>
          <w:p w14:paraId="66E3F1D5" w14:textId="6444ACED" w:rsidR="0069493F" w:rsidRPr="00FD3EEA" w:rsidRDefault="0069493F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threshold value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threshold value...)</w:t>
            </w:r>
            <w:r w:rsidRPr="00FD3EEA"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51C17416" w14:textId="6D6B9BD8" w:rsidR="0069493F" w:rsidRPr="00FD3EEA" w:rsidRDefault="0069493F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933" w:type="dxa"/>
            <w:shd w:val="clear" w:color="auto" w:fill="auto"/>
          </w:tcPr>
          <w:p w14:paraId="058F4590" w14:textId="34FD629E" w:rsidR="0069493F" w:rsidRPr="00FD3EEA" w:rsidRDefault="0069493F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  <w:tr w:rsidR="0069493F" w:rsidRPr="00CC4781" w14:paraId="52DE450F" w14:textId="77777777" w:rsidTr="00CA1A58">
        <w:tc>
          <w:tcPr>
            <w:tcW w:w="3114" w:type="dxa"/>
            <w:shd w:val="clear" w:color="auto" w:fill="auto"/>
          </w:tcPr>
          <w:p w14:paraId="2E153259" w14:textId="2AC2B496" w:rsidR="0069493F" w:rsidRPr="00FD3EEA" w:rsidRDefault="0069493F" w:rsidP="008C2392">
            <w:pPr>
              <w:pStyle w:val="Table8ptText-ASDEFCON"/>
            </w:pPr>
            <w:r w:rsidRPr="00FD3EEA">
              <w:fldChar w:fldCharType="begin">
                <w:ffData>
                  <w:name w:val=""/>
                  <w:enabled/>
                  <w:calcOnExit w:val="0"/>
                  <w:textInput>
                    <w:default w:val="(…INSERT description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description...)</w:t>
            </w:r>
            <w:r w:rsidRPr="00FD3EEA">
              <w:fldChar w:fldCharType="end"/>
            </w:r>
          </w:p>
        </w:tc>
        <w:tc>
          <w:tcPr>
            <w:tcW w:w="2126" w:type="dxa"/>
          </w:tcPr>
          <w:p w14:paraId="7E393933" w14:textId="5352A4BD" w:rsidR="0069493F" w:rsidRPr="00FD3EEA" w:rsidRDefault="0069493F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"/>
                  <w:enabled/>
                  <w:calcOnExit w:val="0"/>
                  <w:textInput>
                    <w:default w:val="(…INSERT threshold value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threshold value...)</w:t>
            </w:r>
            <w:r w:rsidRPr="00FD3EEA"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14:paraId="7454548F" w14:textId="635CA019" w:rsidR="0069493F" w:rsidRPr="00FD3EEA" w:rsidRDefault="0069493F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933" w:type="dxa"/>
            <w:shd w:val="clear" w:color="auto" w:fill="auto"/>
          </w:tcPr>
          <w:p w14:paraId="623CD5AD" w14:textId="2EA0B063" w:rsidR="0069493F" w:rsidRPr="00FD3EEA" w:rsidRDefault="0069493F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</w:tbl>
    <w:p w14:paraId="3FE9E86B" w14:textId="06AFC2CA" w:rsidR="00E56028" w:rsidRDefault="00E56028" w:rsidP="00E56028">
      <w:pPr>
        <w:pStyle w:val="ASDEFCONOptionSpace"/>
      </w:pPr>
      <w:bookmarkStart w:id="155" w:name="_Toc74207417"/>
      <w:bookmarkStart w:id="156" w:name="_Toc74207740"/>
      <w:bookmarkStart w:id="157" w:name="_Toc74208018"/>
      <w:bookmarkStart w:id="158" w:name="_Toc74208295"/>
      <w:bookmarkStart w:id="159" w:name="_Toc74208576"/>
      <w:bookmarkStart w:id="160" w:name="_Toc74208854"/>
      <w:bookmarkStart w:id="161" w:name="_Toc74308403"/>
      <w:bookmarkStart w:id="162" w:name="_Toc74308797"/>
      <w:bookmarkStart w:id="163" w:name="_Toc74309183"/>
      <w:bookmarkStart w:id="164" w:name="_Toc74636439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14:paraId="0B862505" w14:textId="77777777" w:rsidR="00E56028" w:rsidRDefault="00E56028" w:rsidP="00CA1A58">
      <w:pPr>
        <w:pStyle w:val="COTCOCLV3-ASDEFCON"/>
      </w:pPr>
      <w:r>
        <w:lastRenderedPageBreak/>
        <w:t xml:space="preserve">The parties acknowledge and agree that, in accordance with </w:t>
      </w:r>
      <w:r w:rsidRPr="00C071C2">
        <w:t>paragraph</w:t>
      </w:r>
      <w:r>
        <w:t xml:space="preserve"> 4 of the ACE Measurement Rules, alternate deeming rates for indirect costs (including overhead and general and administrative costs) for the Contractor and </w:t>
      </w:r>
      <w:r w:rsidRPr="00C071C2">
        <w:t>specified</w:t>
      </w:r>
      <w:r>
        <w:t xml:space="preserve"> Subcontractors shall be applied as follows:</w:t>
      </w:r>
    </w:p>
    <w:p w14:paraId="3446E39E" w14:textId="6594FCD5" w:rsidR="00E56028" w:rsidRDefault="00E56028" w:rsidP="005051FD">
      <w:pPr>
        <w:pStyle w:val="Table10ptHeading-ASDEFCON"/>
      </w:pPr>
      <w:r>
        <w:t>Table B-</w:t>
      </w:r>
      <w:r w:rsidR="006C18E1">
        <w:fldChar w:fldCharType="begin"/>
      </w:r>
      <w:r w:rsidR="006C18E1">
        <w:instrText xml:space="preserve"> SEQ Table \* ARABIC </w:instrText>
      </w:r>
      <w:r w:rsidR="006C18E1">
        <w:fldChar w:fldCharType="separate"/>
      </w:r>
      <w:r w:rsidR="00006AF2">
        <w:rPr>
          <w:noProof/>
        </w:rPr>
        <w:t>3</w:t>
      </w:r>
      <w:r w:rsidR="006C18E1">
        <w:rPr>
          <w:noProof/>
        </w:rPr>
        <w:fldChar w:fldCharType="end"/>
      </w:r>
      <w:r>
        <w:t xml:space="preserve">: </w:t>
      </w:r>
      <w:r w:rsidR="0057477B">
        <w:t xml:space="preserve">Approved Alternate </w:t>
      </w:r>
      <w:r>
        <w:t>Deeming Rates for Indirect Costs</w:t>
      </w:r>
    </w:p>
    <w:tbl>
      <w:tblPr>
        <w:tblStyle w:val="TableGrid"/>
        <w:tblpPr w:leftFromText="180" w:rightFromText="180" w:vertAnchor="text" w:horzAnchor="margin" w:tblpXSpec="center" w:tblpY="-60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1701"/>
        <w:gridCol w:w="1696"/>
      </w:tblGrid>
      <w:tr w:rsidR="00E56028" w14:paraId="4F474A9B" w14:textId="77777777" w:rsidTr="00C41F7D">
        <w:tc>
          <w:tcPr>
            <w:tcW w:w="4677" w:type="dxa"/>
            <w:shd w:val="pct10" w:color="auto" w:fill="auto"/>
          </w:tcPr>
          <w:p w14:paraId="1E970416" w14:textId="77777777" w:rsidR="00E56028" w:rsidRDefault="00E56028" w:rsidP="008C2392">
            <w:pPr>
              <w:pStyle w:val="Table8ptHeading-ASDEFCON"/>
            </w:pPr>
            <w:r>
              <w:t>Entity Name</w:t>
            </w:r>
          </w:p>
        </w:tc>
        <w:tc>
          <w:tcPr>
            <w:tcW w:w="1701" w:type="dxa"/>
            <w:shd w:val="pct10" w:color="auto" w:fill="auto"/>
          </w:tcPr>
          <w:p w14:paraId="228471BF" w14:textId="77777777" w:rsidR="00E56028" w:rsidRDefault="00E56028" w:rsidP="008C2392">
            <w:pPr>
              <w:pStyle w:val="Table8ptHeading-ASDEFCON"/>
            </w:pPr>
            <w:r>
              <w:t>Deemed ACE percentage</w:t>
            </w:r>
          </w:p>
        </w:tc>
        <w:tc>
          <w:tcPr>
            <w:tcW w:w="1696" w:type="dxa"/>
            <w:shd w:val="pct10" w:color="auto" w:fill="auto"/>
          </w:tcPr>
          <w:p w14:paraId="4E0C773D" w14:textId="0BAA13A5" w:rsidR="00E56028" w:rsidRDefault="00E56028" w:rsidP="008C2392">
            <w:pPr>
              <w:pStyle w:val="Table8ptHeading-ASDEFCON"/>
            </w:pPr>
            <w:r>
              <w:t>Deemed ICE percentage</w:t>
            </w:r>
          </w:p>
        </w:tc>
      </w:tr>
      <w:tr w:rsidR="00E56028" w14:paraId="370E8B7D" w14:textId="77777777" w:rsidTr="00C46F2B">
        <w:tc>
          <w:tcPr>
            <w:tcW w:w="4677" w:type="dxa"/>
          </w:tcPr>
          <w:p w14:paraId="7D060847" w14:textId="68A46913" w:rsidR="00E56028" w:rsidRDefault="00E56028" w:rsidP="008C2392">
            <w:pPr>
              <w:pStyle w:val="Table8ptText-ASDEFCON"/>
            </w:pPr>
            <w:r>
              <w:fldChar w:fldCharType="begin">
                <w:ffData>
                  <w:name w:val="Text12"/>
                  <w:enabled/>
                  <w:calcOnExit w:val="0"/>
                  <w:textInput>
                    <w:default w:val="(… INSERT CONTRACTOR NAME …)"/>
                  </w:textInput>
                </w:ffData>
              </w:fldChar>
            </w:r>
            <w:r>
              <w:instrText xml:space="preserve"> </w:instrText>
            </w:r>
            <w:bookmarkStart w:id="165" w:name="Text12"/>
            <w:r>
              <w:instrText xml:space="preserve">FORMTEXT </w:instrText>
            </w:r>
            <w:r>
              <w:fldChar w:fldCharType="separate"/>
            </w:r>
            <w:r w:rsidR="00006AF2">
              <w:rPr>
                <w:noProof/>
              </w:rPr>
              <w:t>(… INSERT CONTRACTOR NAME …)</w:t>
            </w:r>
            <w:r>
              <w:fldChar w:fldCharType="end"/>
            </w:r>
            <w:bookmarkEnd w:id="165"/>
          </w:p>
        </w:tc>
        <w:tc>
          <w:tcPr>
            <w:tcW w:w="1701" w:type="dxa"/>
          </w:tcPr>
          <w:p w14:paraId="6B78822D" w14:textId="2ADAEC89" w:rsidR="00E56028" w:rsidRDefault="00E56028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696" w:type="dxa"/>
          </w:tcPr>
          <w:p w14:paraId="0926F841" w14:textId="41F55BEF" w:rsidR="00E56028" w:rsidRDefault="00E56028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  <w:tr w:rsidR="00E56028" w14:paraId="16D56749" w14:textId="77777777" w:rsidTr="00C46F2B">
        <w:tc>
          <w:tcPr>
            <w:tcW w:w="4677" w:type="dxa"/>
          </w:tcPr>
          <w:p w14:paraId="440A04E4" w14:textId="0839BC8E" w:rsidR="00E56028" w:rsidRDefault="00E56028" w:rsidP="008C2392">
            <w:pPr>
              <w:pStyle w:val="Table8ptText-ASDEFCON"/>
            </w:pPr>
            <w:r>
              <w:fldChar w:fldCharType="begin">
                <w:ffData>
                  <w:name w:val="Text13"/>
                  <w:enabled/>
                  <w:calcOnExit w:val="0"/>
                  <w:textInput>
                    <w:default w:val="(… INSERT SUBCONTRACTOR NAME …)"/>
                  </w:textInput>
                </w:ffData>
              </w:fldChar>
            </w:r>
            <w:r>
              <w:instrText xml:space="preserve"> </w:instrText>
            </w:r>
            <w:bookmarkStart w:id="166" w:name="Text13"/>
            <w:r>
              <w:instrText xml:space="preserve">FORMTEXT </w:instrText>
            </w:r>
            <w:r>
              <w:fldChar w:fldCharType="separate"/>
            </w:r>
            <w:r w:rsidR="00006AF2">
              <w:rPr>
                <w:noProof/>
              </w:rPr>
              <w:t>(… INSERT SUBCONTRACTOR NAME …)</w:t>
            </w:r>
            <w:r>
              <w:fldChar w:fldCharType="end"/>
            </w:r>
            <w:bookmarkEnd w:id="166"/>
          </w:p>
        </w:tc>
        <w:tc>
          <w:tcPr>
            <w:tcW w:w="1701" w:type="dxa"/>
          </w:tcPr>
          <w:p w14:paraId="4F6A676F" w14:textId="59711201" w:rsidR="00E56028" w:rsidRDefault="00E56028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  <w:tc>
          <w:tcPr>
            <w:tcW w:w="1696" w:type="dxa"/>
          </w:tcPr>
          <w:p w14:paraId="400EE78A" w14:textId="7E2C8694" w:rsidR="00E56028" w:rsidRDefault="00E56028" w:rsidP="008C2392">
            <w:pPr>
              <w:pStyle w:val="Table8ptText-ASDEFCON"/>
              <w:jc w:val="center"/>
            </w:pPr>
            <w:r w:rsidRPr="00FD3EEA">
              <w:fldChar w:fldCharType="begin">
                <w:ffData>
                  <w:name w:val="Text10"/>
                  <w:enabled/>
                  <w:calcOnExit w:val="0"/>
                  <w:textInput>
                    <w:default w:val="(…INSERT %...)"/>
                  </w:textInput>
                </w:ffData>
              </w:fldChar>
            </w:r>
            <w:r w:rsidRPr="00FD3EEA">
              <w:instrText xml:space="preserve"> FORMTEXT </w:instrText>
            </w:r>
            <w:r w:rsidRPr="00FD3EEA">
              <w:fldChar w:fldCharType="separate"/>
            </w:r>
            <w:r w:rsidR="00006AF2">
              <w:rPr>
                <w:noProof/>
              </w:rPr>
              <w:t>(…INSERT %...)</w:t>
            </w:r>
            <w:r w:rsidRPr="00FD3EEA">
              <w:fldChar w:fldCharType="end"/>
            </w:r>
          </w:p>
        </w:tc>
      </w:tr>
      <w:tr w:rsidR="00E56028" w14:paraId="4F761D6B" w14:textId="77777777" w:rsidTr="00C46F2B">
        <w:tc>
          <w:tcPr>
            <w:tcW w:w="4677" w:type="dxa"/>
          </w:tcPr>
          <w:p w14:paraId="13E8204F" w14:textId="77777777" w:rsidR="00E56028" w:rsidRDefault="00E56028" w:rsidP="008C2392">
            <w:pPr>
              <w:pStyle w:val="Table8ptText-ASDEFCON"/>
            </w:pPr>
          </w:p>
        </w:tc>
        <w:tc>
          <w:tcPr>
            <w:tcW w:w="1701" w:type="dxa"/>
          </w:tcPr>
          <w:p w14:paraId="4B2C206F" w14:textId="77777777" w:rsidR="00E56028" w:rsidRPr="00FD3EEA" w:rsidRDefault="00E56028" w:rsidP="008C2392">
            <w:pPr>
              <w:pStyle w:val="Table8ptText-ASDEFCON"/>
              <w:jc w:val="center"/>
            </w:pPr>
          </w:p>
        </w:tc>
        <w:tc>
          <w:tcPr>
            <w:tcW w:w="1696" w:type="dxa"/>
          </w:tcPr>
          <w:p w14:paraId="76E522D4" w14:textId="77777777" w:rsidR="00E56028" w:rsidRPr="00FD3EEA" w:rsidRDefault="00E56028" w:rsidP="008C2392">
            <w:pPr>
              <w:pStyle w:val="Table8ptText-ASDEFCON"/>
              <w:jc w:val="center"/>
            </w:pPr>
          </w:p>
        </w:tc>
      </w:tr>
    </w:tbl>
    <w:p w14:paraId="01537C33" w14:textId="77777777" w:rsidR="00E56028" w:rsidRDefault="00E56028" w:rsidP="00CA1A58">
      <w:pPr>
        <w:pStyle w:val="ASDEFCONOptionSpace"/>
        <w:jc w:val="left"/>
      </w:pPr>
    </w:p>
    <w:p w14:paraId="4963FEE9" w14:textId="0CB915E5" w:rsidR="00C46F2B" w:rsidRDefault="001D55F9" w:rsidP="00073462">
      <w:pPr>
        <w:pStyle w:val="COTCOCLV3-ASDEFCON"/>
      </w:pPr>
      <w:r>
        <w:t xml:space="preserve">Upon notification by Defence’s </w:t>
      </w:r>
      <w:r w:rsidR="00BF7087">
        <w:t xml:space="preserve">Commercial and Financial Analysis Directorate, </w:t>
      </w:r>
      <w:r>
        <w:t xml:space="preserve">Financial Investigation Service (FIS), that </w:t>
      </w:r>
      <w:r w:rsidR="00E02EFF">
        <w:t>FIS has confirmed different</w:t>
      </w:r>
      <w:r>
        <w:t xml:space="preserve"> alternate</w:t>
      </w:r>
      <w:r w:rsidR="0057477B">
        <w:t xml:space="preserve"> or additional</w:t>
      </w:r>
      <w:r>
        <w:t xml:space="preserve"> deeming rates </w:t>
      </w:r>
      <w:r w:rsidR="00E02EFF">
        <w:t>for the Contractor</w:t>
      </w:r>
      <w:r w:rsidR="0057477B">
        <w:t xml:space="preserve"> or a Subcontractor</w:t>
      </w:r>
      <w:r w:rsidR="00E02EFF">
        <w:t>,</w:t>
      </w:r>
      <w:r>
        <w:t xml:space="preserve"> the Contractor shall, within 20 Working Days, submit a CCP in accordance with clause </w:t>
      </w:r>
      <w:r w:rsidR="009E7576">
        <w:t>11</w:t>
      </w:r>
      <w:r>
        <w:t xml:space="preserve">.1 of the COC, to update Table </w:t>
      </w:r>
      <w:r w:rsidR="0057477B">
        <w:t xml:space="preserve">B-2 or </w:t>
      </w:r>
      <w:r>
        <w:t xml:space="preserve">B-3 </w:t>
      </w:r>
      <w:r w:rsidR="0057477B">
        <w:t>(as appropriate)</w:t>
      </w:r>
      <w:r w:rsidR="00651B6E">
        <w:t xml:space="preserve"> </w:t>
      </w:r>
      <w:r w:rsidR="00073462">
        <w:t>to incorporate</w:t>
      </w:r>
      <w:r>
        <w:t xml:space="preserve"> the new alternate </w:t>
      </w:r>
      <w:r w:rsidR="0057477B">
        <w:t xml:space="preserve">or additional </w:t>
      </w:r>
      <w:r>
        <w:t>deeming rates.</w:t>
      </w:r>
    </w:p>
    <w:p w14:paraId="5DE88579" w14:textId="6D4DB789" w:rsidR="00BD5335" w:rsidRPr="002A29EA" w:rsidRDefault="0069493F" w:rsidP="003E7D0E">
      <w:pPr>
        <w:pStyle w:val="COTCOCLV1-ASDEFCON"/>
      </w:pPr>
      <w:bookmarkStart w:id="167" w:name="_Toc175039459"/>
      <w:r>
        <w:t>Schedule of Further Quantities and Optional Extras</w:t>
      </w:r>
      <w:r w:rsidR="00BD5335" w:rsidRPr="002A29EA">
        <w:t xml:space="preserve"> (OPTIONAL)</w:t>
      </w:r>
      <w:bookmarkEnd w:id="167"/>
    </w:p>
    <w:p w14:paraId="3C555710" w14:textId="4F414353" w:rsidR="00BD5335" w:rsidRPr="002A29EA" w:rsidRDefault="00BD5335" w:rsidP="0082346E">
      <w:pPr>
        <w:pStyle w:val="NoteToDrafters-ASDEFCON"/>
      </w:pPr>
      <w:r w:rsidRPr="002A29EA">
        <w:t xml:space="preserve">Note to drafters:  Prior to release of the RFT, drafters </w:t>
      </w:r>
      <w:r w:rsidR="00526ED4">
        <w:t>are to</w:t>
      </w:r>
      <w:r w:rsidR="00525FF1">
        <w:t xml:space="preserve"> identify the potential further quantities and optional extras that may be included in </w:t>
      </w:r>
      <w:r w:rsidR="00DB0E47">
        <w:t>any resultant</w:t>
      </w:r>
      <w:r w:rsidR="00525FF1">
        <w:t xml:space="preserve"> Contract</w:t>
      </w:r>
      <w:r w:rsidR="00DB0E47">
        <w:t xml:space="preserve"> (noting that other options may be proposed by tenders).</w:t>
      </w:r>
      <w:r w:rsidR="00525FF1">
        <w:t xml:space="preserve"> </w:t>
      </w:r>
      <w:r w:rsidR="00525FF1" w:rsidRPr="002A29EA">
        <w:t xml:space="preserve"> </w:t>
      </w:r>
      <w:r w:rsidR="008E191B">
        <w:t>Drafters should refer to</w:t>
      </w:r>
      <w:r w:rsidR="00DB0E47">
        <w:t xml:space="preserve"> the 'Further Quantities" </w:t>
      </w:r>
      <w:r w:rsidR="00161F8B">
        <w:t>worksheet</w:t>
      </w:r>
      <w:r w:rsidR="00DB0E47">
        <w:t xml:space="preserve"> of the </w:t>
      </w:r>
      <w:r w:rsidR="00E162F8">
        <w:t>ACQ</w:t>
      </w:r>
      <w:r w:rsidR="00161F8B">
        <w:t>PW</w:t>
      </w:r>
      <w:r w:rsidR="00DB0E47">
        <w:t xml:space="preserve"> and, where known </w:t>
      </w:r>
      <w:r w:rsidRPr="002A29EA">
        <w:t>insert:</w:t>
      </w:r>
    </w:p>
    <w:p w14:paraId="30F9CE11" w14:textId="77777777" w:rsidR="00BD5335" w:rsidRPr="00514D9D" w:rsidRDefault="00BD5335" w:rsidP="00D95915">
      <w:pPr>
        <w:pStyle w:val="NoteToDraftersList-ASDEFCON"/>
      </w:pPr>
      <w:r w:rsidRPr="00514D9D">
        <w:t>a brief description of the additional quantities of Supplies and/or optional extras that the Commonwealth may require;</w:t>
      </w:r>
    </w:p>
    <w:p w14:paraId="7A632010" w14:textId="77777777" w:rsidR="00BD5335" w:rsidRPr="00514D9D" w:rsidRDefault="002E405D" w:rsidP="0082346E">
      <w:pPr>
        <w:pStyle w:val="NoteToDraftersList-ASDEFCON"/>
      </w:pPr>
      <w:r w:rsidRPr="00514D9D">
        <w:t>t</w:t>
      </w:r>
      <w:r w:rsidR="00BD5335" w:rsidRPr="00514D9D">
        <w:t>he quantity required; and</w:t>
      </w:r>
    </w:p>
    <w:p w14:paraId="47D2075D" w14:textId="6FDAF722" w:rsidR="00BD5335" w:rsidRDefault="00BD5335" w:rsidP="0082346E">
      <w:pPr>
        <w:pStyle w:val="NoteToDraftersList-ASDEFCON"/>
      </w:pPr>
      <w:proofErr w:type="gramStart"/>
      <w:r w:rsidRPr="00514D9D">
        <w:t>the</w:t>
      </w:r>
      <w:proofErr w:type="gramEnd"/>
      <w:r w:rsidRPr="00514D9D">
        <w:t xml:space="preserve"> proposed delivery points</w:t>
      </w:r>
      <w:r w:rsidR="00525FF1">
        <w:t xml:space="preserve"> (to be included in the comments column)</w:t>
      </w:r>
      <w:r w:rsidRPr="00514D9D">
        <w:t>.</w:t>
      </w:r>
    </w:p>
    <w:p w14:paraId="3E47C6E4" w14:textId="7150CEF2" w:rsidR="00675C9C" w:rsidRPr="00514D9D" w:rsidRDefault="00675C9C" w:rsidP="00455DC3">
      <w:pPr>
        <w:pStyle w:val="NoteToDraftersList-ASDEFCON"/>
        <w:numPr>
          <w:ilvl w:val="0"/>
          <w:numId w:val="0"/>
        </w:numPr>
      </w:pPr>
      <w:r>
        <w:t>Drafters should define an appropriate scope for the addition or option; for example, by requesting an additional ‘Mission System’ and a ‘Support Resource package per additional Mission System’.</w:t>
      </w:r>
    </w:p>
    <w:p w14:paraId="5F7156DF" w14:textId="020EE8A1" w:rsidR="00526ED4" w:rsidRPr="002A29EA" w:rsidRDefault="00526ED4" w:rsidP="00526ED4">
      <w:pPr>
        <w:pStyle w:val="NoteToTenderers-ASDEFCON"/>
      </w:pPr>
      <w:r w:rsidRPr="002A29EA">
        <w:t xml:space="preserve">Note to tenderers:  Annex </w:t>
      </w:r>
      <w:r w:rsidR="008923C7">
        <w:t>F</w:t>
      </w:r>
      <w:r w:rsidR="00AA24F2">
        <w:t xml:space="preserve"> </w:t>
      </w:r>
      <w:r w:rsidRPr="002A29EA">
        <w:t>will consist of an amalgamation of</w:t>
      </w:r>
      <w:r w:rsidR="00AA24F2">
        <w:t xml:space="preserve"> the </w:t>
      </w:r>
      <w:r w:rsidR="00E162F8">
        <w:t>ACQ</w:t>
      </w:r>
      <w:r w:rsidR="00161F8B">
        <w:t>PW</w:t>
      </w:r>
      <w:r w:rsidR="008923C7">
        <w:t xml:space="preserve"> 'Further Quantities’ </w:t>
      </w:r>
      <w:r w:rsidR="00161F8B">
        <w:t>worksheet</w:t>
      </w:r>
      <w:r w:rsidR="008923C7">
        <w:t xml:space="preserve"> for</w:t>
      </w:r>
      <w:r w:rsidR="00E904B5">
        <w:t xml:space="preserve"> </w:t>
      </w:r>
      <w:r w:rsidRPr="002A29EA">
        <w:t>the successful tenderer’s response</w:t>
      </w:r>
      <w:r w:rsidR="008923C7" w:rsidRPr="008923C7">
        <w:t xml:space="preserve"> </w:t>
      </w:r>
      <w:r w:rsidR="008923C7">
        <w:t>to TDR D-</w:t>
      </w:r>
      <w:r w:rsidR="00E225DD">
        <w:t>12</w:t>
      </w:r>
      <w:r w:rsidR="00AA24F2">
        <w:t xml:space="preserve">, </w:t>
      </w:r>
      <w:r w:rsidR="00AA24F2" w:rsidRPr="0066273A">
        <w:t>and any negotiated adjustments</w:t>
      </w:r>
      <w:r>
        <w:t>.</w:t>
      </w:r>
    </w:p>
    <w:p w14:paraId="70F41BBE" w14:textId="385F3720" w:rsidR="0056720F" w:rsidRDefault="0056720F" w:rsidP="003E7D0E">
      <w:pPr>
        <w:pStyle w:val="COTCOCLV2-ASDEFCON"/>
      </w:pPr>
      <w:r>
        <w:t>Further Quantities and Optional Extras</w:t>
      </w:r>
    </w:p>
    <w:p w14:paraId="1A1E8BEB" w14:textId="1785221F" w:rsidR="00526ED4" w:rsidRDefault="004D088F" w:rsidP="0084171A">
      <w:pPr>
        <w:pStyle w:val="COTCOCLV3-ASDEFCON"/>
      </w:pPr>
      <w:r>
        <w:t>The Schedule of Further Quantities and Optional Extras for the Contract is detailed in the</w:t>
      </w:r>
      <w:r w:rsidR="006473A1">
        <w:t xml:space="preserve"> file: </w:t>
      </w:r>
      <w:r w:rsidR="00675C9C" w:rsidRPr="008D39EE">
        <w:rPr>
          <w:b/>
        </w:rPr>
        <w:fldChar w:fldCharType="begin">
          <w:ffData>
            <w:name w:val=""/>
            <w:enabled/>
            <w:calcOnExit w:val="0"/>
            <w:textInput>
              <w:default w:val="(…INSERT the file name for the 'Further Quantities' tab from the workbook…)"/>
            </w:textInput>
          </w:ffData>
        </w:fldChar>
      </w:r>
      <w:r w:rsidR="00675C9C" w:rsidRPr="000B0F08">
        <w:rPr>
          <w:b/>
        </w:rPr>
        <w:instrText xml:space="preserve"> FORMTEXT </w:instrText>
      </w:r>
      <w:r w:rsidR="00675C9C" w:rsidRPr="008D39EE">
        <w:rPr>
          <w:b/>
        </w:rPr>
      </w:r>
      <w:r w:rsidR="00675C9C" w:rsidRPr="008D39EE">
        <w:rPr>
          <w:b/>
        </w:rPr>
        <w:fldChar w:fldCharType="separate"/>
      </w:r>
      <w:r w:rsidR="00006AF2">
        <w:rPr>
          <w:b/>
          <w:noProof/>
        </w:rPr>
        <w:t>(…INSERT the file name for the 'Further Quantities' tab from the workbook…)</w:t>
      </w:r>
      <w:r w:rsidR="00675C9C" w:rsidRPr="008D39EE">
        <w:rPr>
          <w:b/>
        </w:rPr>
        <w:fldChar w:fldCharType="end"/>
      </w:r>
      <w:r w:rsidR="006473A1">
        <w:t>, and forms Annex F to this Attachment</w:t>
      </w:r>
      <w:r>
        <w:t>.</w:t>
      </w:r>
    </w:p>
    <w:p w14:paraId="1E449AE3" w14:textId="76F324B7" w:rsidR="00BD5335" w:rsidRPr="002A29EA" w:rsidRDefault="0069493F" w:rsidP="003E7D0E">
      <w:pPr>
        <w:pStyle w:val="COTCOCLV1-ASDEFCON"/>
      </w:pPr>
      <w:bookmarkStart w:id="168" w:name="_Ref74302051"/>
      <w:bookmarkStart w:id="169" w:name="_Toc175039460"/>
      <w:r>
        <w:t>Cost Reimbursement</w:t>
      </w:r>
      <w:r w:rsidR="00BD5335" w:rsidRPr="002A29EA">
        <w:t xml:space="preserve"> (OPTIONAL)</w:t>
      </w:r>
      <w:bookmarkEnd w:id="168"/>
      <w:bookmarkEnd w:id="169"/>
    </w:p>
    <w:p w14:paraId="2DF1FB83" w14:textId="6E2F17BA" w:rsidR="00B3529D" w:rsidRPr="002A29EA" w:rsidRDefault="00B3529D" w:rsidP="00B3529D">
      <w:pPr>
        <w:pStyle w:val="NoteToDrafters-ASDEFCON"/>
      </w:pPr>
      <w:r>
        <w:t xml:space="preserve">Note to Drafters:  </w:t>
      </w:r>
      <w:r w:rsidR="00223CA8">
        <w:t>Cost Reimbursement Payments</w:t>
      </w:r>
      <w:r w:rsidR="00BA33B1">
        <w:t>,</w:t>
      </w:r>
      <w:r w:rsidR="00223CA8">
        <w:t xml:space="preserve"> </w:t>
      </w:r>
      <w:r w:rsidR="0003632A">
        <w:t xml:space="preserve">allowing </w:t>
      </w:r>
      <w:r w:rsidR="00223CA8">
        <w:t xml:space="preserve">part of </w:t>
      </w:r>
      <w:r w:rsidR="0003632A">
        <w:t>a c</w:t>
      </w:r>
      <w:r w:rsidR="00223CA8">
        <w:t>ontract to be paid on a reimbursement basis</w:t>
      </w:r>
      <w:r w:rsidR="0003632A">
        <w:t>,</w:t>
      </w:r>
      <w:r w:rsidR="00223CA8">
        <w:t xml:space="preserve"> </w:t>
      </w:r>
      <w:r w:rsidR="0003632A">
        <w:t>are generally only considered by Defence</w:t>
      </w:r>
      <w:r w:rsidR="00223CA8">
        <w:t xml:space="preserve"> for a</w:t>
      </w:r>
      <w:r w:rsidR="0003632A">
        <w:t>ctivities</w:t>
      </w:r>
      <w:r w:rsidR="00223CA8">
        <w:t xml:space="preserve"> that </w:t>
      </w:r>
      <w:r w:rsidR="0003632A">
        <w:t xml:space="preserve">are </w:t>
      </w:r>
      <w:r w:rsidR="00223CA8">
        <w:t>difficult to scop</w:t>
      </w:r>
      <w:r w:rsidR="00BA33B1">
        <w:t>e</w:t>
      </w:r>
      <w:r w:rsidR="00223CA8">
        <w:t xml:space="preserve"> and </w:t>
      </w:r>
      <w:r w:rsidR="0003632A">
        <w:t>for</w:t>
      </w:r>
      <w:r w:rsidR="00003630">
        <w:t xml:space="preserve"> the</w:t>
      </w:r>
      <w:r w:rsidR="0003632A">
        <w:t xml:space="preserve"> tenderers to </w:t>
      </w:r>
      <w:r w:rsidR="00223CA8">
        <w:t>price</w:t>
      </w:r>
      <w:r w:rsidR="0003632A" w:rsidRPr="0003632A">
        <w:t xml:space="preserve"> </w:t>
      </w:r>
      <w:r w:rsidR="0003632A">
        <w:t>(such as high-risk design and development)</w:t>
      </w:r>
      <w:r w:rsidR="00223CA8">
        <w:t xml:space="preserve">. </w:t>
      </w:r>
      <w:r w:rsidR="00F64EB3">
        <w:t xml:space="preserve"> </w:t>
      </w:r>
      <w:r w:rsidR="0003632A">
        <w:t>Accordingly, this payment method is an option within the ASDEFCON (Strategic Materiel) template.  If such a payment method is being considered for the draft Contract, and the appropriate template is being used</w:t>
      </w:r>
      <w:r w:rsidR="00003630">
        <w:t>, drafters should refer to the ASDEFCON (Strategic Materiel) template (Attachment B</w:t>
      </w:r>
      <w:r w:rsidR="003E15AB">
        <w:t xml:space="preserve"> clauses 4 and 9</w:t>
      </w:r>
      <w:r w:rsidR="00D24D51">
        <w:t>, Anne</w:t>
      </w:r>
      <w:r w:rsidR="00E162F8">
        <w:t>x D to Attachment A to the COT,</w:t>
      </w:r>
      <w:r w:rsidR="00003630">
        <w:t xml:space="preserve"> and related clauses of the draft COC) for applicable clauses.</w:t>
      </w:r>
    </w:p>
    <w:p w14:paraId="57822E52" w14:textId="3E8F69D0" w:rsidR="00BD5335" w:rsidRPr="002A29EA" w:rsidRDefault="0069493F" w:rsidP="003E7D0E">
      <w:pPr>
        <w:pStyle w:val="COTCOCLV1-ASDEFCON"/>
      </w:pPr>
      <w:bookmarkStart w:id="170" w:name="_Toc85204318"/>
      <w:bookmarkStart w:id="171" w:name="_Toc85204319"/>
      <w:bookmarkStart w:id="172" w:name="_Toc85204320"/>
      <w:bookmarkStart w:id="173" w:name="_Toc85204321"/>
      <w:bookmarkStart w:id="174" w:name="_Toc85204322"/>
      <w:bookmarkStart w:id="175" w:name="_Toc85204323"/>
      <w:bookmarkStart w:id="176" w:name="_Toc85204324"/>
      <w:bookmarkStart w:id="177" w:name="_Toc85204325"/>
      <w:bookmarkStart w:id="178" w:name="_Toc85204326"/>
      <w:bookmarkStart w:id="179" w:name="_Toc85204327"/>
      <w:bookmarkStart w:id="180" w:name="_Toc85204328"/>
      <w:bookmarkStart w:id="181" w:name="_Toc85204329"/>
      <w:bookmarkStart w:id="182" w:name="_Toc85204330"/>
      <w:bookmarkStart w:id="183" w:name="_Toc85204331"/>
      <w:bookmarkStart w:id="184" w:name="_Toc85204332"/>
      <w:bookmarkStart w:id="185" w:name="_Toc85204333"/>
      <w:bookmarkStart w:id="186" w:name="_Toc85204334"/>
      <w:bookmarkStart w:id="187" w:name="_Toc85204335"/>
      <w:bookmarkStart w:id="188" w:name="_Toc85204336"/>
      <w:bookmarkStart w:id="189" w:name="_Toc85204337"/>
      <w:bookmarkStart w:id="190" w:name="_Toc85204338"/>
      <w:bookmarkStart w:id="191" w:name="_Toc85204339"/>
      <w:bookmarkStart w:id="192" w:name="_Toc85204340"/>
      <w:bookmarkStart w:id="193" w:name="_Toc85204341"/>
      <w:bookmarkStart w:id="194" w:name="_Toc85204342"/>
      <w:bookmarkStart w:id="195" w:name="_Toc85204343"/>
      <w:bookmarkStart w:id="196" w:name="_Toc85204344"/>
      <w:bookmarkStart w:id="197" w:name="_Toc85204345"/>
      <w:bookmarkStart w:id="198" w:name="_Toc85204346"/>
      <w:bookmarkStart w:id="199" w:name="_Toc85204347"/>
      <w:bookmarkStart w:id="200" w:name="_Toc85204348"/>
      <w:bookmarkStart w:id="201" w:name="_Toc85204349"/>
      <w:bookmarkStart w:id="202" w:name="_Toc85204350"/>
      <w:bookmarkStart w:id="203" w:name="_Toc85204351"/>
      <w:bookmarkStart w:id="204" w:name="_Toc175039461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r>
        <w:t>Incentive Payments</w:t>
      </w:r>
      <w:r w:rsidR="00BD5335" w:rsidRPr="002A29EA">
        <w:t xml:space="preserve"> (OPTIONAL)</w:t>
      </w:r>
      <w:bookmarkEnd w:id="204"/>
    </w:p>
    <w:p w14:paraId="3837E10C" w14:textId="3DA89ED2" w:rsidR="005211DA" w:rsidRPr="002A29EA" w:rsidRDefault="005211DA" w:rsidP="005211DA">
      <w:pPr>
        <w:pStyle w:val="NoteToDrafters-ASDEFCON"/>
      </w:pPr>
      <w:r w:rsidRPr="002A29EA">
        <w:t xml:space="preserve">Note to drafters: </w:t>
      </w:r>
      <w:r>
        <w:t xml:space="preserve"> </w:t>
      </w:r>
      <w:r w:rsidRPr="002A29EA">
        <w:t>The</w:t>
      </w:r>
      <w:r>
        <w:t xml:space="preserve"> </w:t>
      </w:r>
      <w:r w:rsidRPr="002A29EA">
        <w:t xml:space="preserve">Commonwealth’s preferred assessment periods, key performance indicators and weightings (if any) </w:t>
      </w:r>
      <w:r>
        <w:t xml:space="preserve">need to be included </w:t>
      </w:r>
      <w:r w:rsidR="00584BF7">
        <w:t>below,</w:t>
      </w:r>
      <w:r w:rsidRPr="002A29EA">
        <w:t xml:space="preserve"> before release of the RFT.</w:t>
      </w:r>
    </w:p>
    <w:p w14:paraId="52C15A5B" w14:textId="1217C902" w:rsidR="00BD5335" w:rsidRDefault="00BD5335" w:rsidP="005211DA">
      <w:pPr>
        <w:pStyle w:val="NoteToTenderers-ASDEFCON"/>
      </w:pPr>
      <w:r w:rsidRPr="002A29EA">
        <w:t xml:space="preserve">Note to tenderers:  </w:t>
      </w:r>
      <w:r w:rsidR="00584BF7">
        <w:t>This clause</w:t>
      </w:r>
      <w:r w:rsidRPr="002A29EA">
        <w:t xml:space="preserve"> will consist of an amalgamation of the incentive payment aspects in TDR D-</w:t>
      </w:r>
      <w:r w:rsidR="0002282E" w:rsidRPr="002A29EA">
        <w:t>1</w:t>
      </w:r>
      <w:r w:rsidR="0002282E">
        <w:t>2</w:t>
      </w:r>
      <w:r w:rsidR="00F3743F">
        <w:t>,</w:t>
      </w:r>
      <w:r w:rsidRPr="002A29EA">
        <w:t xml:space="preserve"> the successful tenderer’s response</w:t>
      </w:r>
      <w:r w:rsidR="00F3743F">
        <w:t xml:space="preserve"> and any negotiated adjustments</w:t>
      </w:r>
      <w:r w:rsidRPr="002A29EA">
        <w:t>.</w:t>
      </w:r>
    </w:p>
    <w:p w14:paraId="7365AEE2" w14:textId="283774B5" w:rsidR="00535015" w:rsidRDefault="00A75E7E" w:rsidP="00A75E7E">
      <w:pPr>
        <w:pStyle w:val="COTCOCLV2-ASDEFCON"/>
      </w:pPr>
      <w:r>
        <w:fldChar w:fldCharType="begin">
          <w:ffData>
            <w:name w:val="Text16"/>
            <w:enabled/>
            <w:calcOnExit w:val="0"/>
            <w:textInput>
              <w:default w:val="(... To be determined ...}"/>
            </w:textInput>
          </w:ffData>
        </w:fldChar>
      </w:r>
      <w:r>
        <w:instrText xml:space="preserve"> </w:instrText>
      </w:r>
      <w:bookmarkStart w:id="205" w:name="Text16"/>
      <w:r>
        <w:instrText xml:space="preserve">FORMTEXT </w:instrText>
      </w:r>
      <w:r>
        <w:fldChar w:fldCharType="separate"/>
      </w:r>
      <w:r w:rsidR="00006AF2">
        <w:rPr>
          <w:noProof/>
        </w:rPr>
        <w:t>(... To be determined ...}</w:t>
      </w:r>
      <w:r>
        <w:fldChar w:fldCharType="end"/>
      </w:r>
      <w:bookmarkEnd w:id="205"/>
    </w:p>
    <w:p w14:paraId="35F0D452" w14:textId="0B50EDEC" w:rsidR="009A0369" w:rsidRPr="00B5120F" w:rsidRDefault="00A75E7E" w:rsidP="00077C76">
      <w:pPr>
        <w:pStyle w:val="COTCOCLV3-ASDEFCON"/>
      </w:pPr>
      <w:r>
        <w:fldChar w:fldCharType="begin">
          <w:ffData>
            <w:name w:val="Text15"/>
            <w:enabled/>
            <w:calcOnExit w:val="0"/>
            <w:textInput>
              <w:default w:val="(… INSERT DETAILS OF INCENTIVE PAYMENTS, IF APPLICABLE …)"/>
            </w:textInput>
          </w:ffData>
        </w:fldChar>
      </w:r>
      <w:r>
        <w:instrText xml:space="preserve"> FORMTEXT </w:instrText>
      </w:r>
      <w:r>
        <w:fldChar w:fldCharType="separate"/>
      </w:r>
      <w:r w:rsidR="00006AF2">
        <w:rPr>
          <w:noProof/>
        </w:rPr>
        <w:t>(… INSERT DETAILS OF INCENTIVE PAYMENTS, IF APPLICABLE …)</w:t>
      </w:r>
      <w:r>
        <w:fldChar w:fldCharType="end"/>
      </w:r>
      <w:r w:rsidR="00535015">
        <w:t>.</w:t>
      </w:r>
    </w:p>
    <w:sectPr w:rsidR="009A0369" w:rsidRPr="00B5120F" w:rsidSect="00206F58">
      <w:headerReference w:type="default" r:id="rId9"/>
      <w:footerReference w:type="default" r:id="rId10"/>
      <w:pgSz w:w="11906" w:h="16838"/>
      <w:pgMar w:top="1304" w:right="1417" w:bottom="907" w:left="1417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ED222" w14:textId="77777777" w:rsidR="006C18E1" w:rsidRDefault="006C18E1">
      <w:r>
        <w:separator/>
      </w:r>
    </w:p>
  </w:endnote>
  <w:endnote w:type="continuationSeparator" w:id="0">
    <w:p w14:paraId="52A0A5C5" w14:textId="77777777" w:rsidR="006C18E1" w:rsidRDefault="006C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57" w:type="pct"/>
      <w:tblLook w:val="0000" w:firstRow="0" w:lastRow="0" w:firstColumn="0" w:lastColumn="0" w:noHBand="0" w:noVBand="0"/>
    </w:tblPr>
    <w:tblGrid>
      <w:gridCol w:w="4821"/>
      <w:gridCol w:w="4536"/>
    </w:tblGrid>
    <w:tr w:rsidR="00776E5F" w14:paraId="3FEC8A7C" w14:textId="77777777" w:rsidTr="00FC4375">
      <w:tc>
        <w:tcPr>
          <w:tcW w:w="2576" w:type="pct"/>
        </w:tcPr>
        <w:p w14:paraId="014F76A5" w14:textId="1EF93D24" w:rsidR="00776E5F" w:rsidRDefault="006C18E1" w:rsidP="00CE17F4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76E5F">
            <w:t>Attachment to Draft Conditions of Contract</w:t>
          </w:r>
          <w:r>
            <w:fldChar w:fldCharType="end"/>
          </w:r>
          <w:r w:rsidR="00776E5F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76E5F">
            <w:t>V5.2</w:t>
          </w:r>
          <w:r>
            <w:fldChar w:fldCharType="end"/>
          </w:r>
          <w:r w:rsidR="00776E5F">
            <w:t>)</w:t>
          </w:r>
        </w:p>
      </w:tc>
      <w:tc>
        <w:tcPr>
          <w:tcW w:w="2424" w:type="pct"/>
        </w:tcPr>
        <w:p w14:paraId="6087419A" w14:textId="44632E47" w:rsidR="00776E5F" w:rsidRPr="00EA78E7" w:rsidRDefault="00776E5F" w:rsidP="00CE17F4">
          <w:pPr>
            <w:pStyle w:val="ASDEFCONHeaderFooterRight"/>
            <w:rPr>
              <w:sz w:val="18"/>
              <w:szCs w:val="18"/>
            </w:rPr>
          </w:pPr>
          <w:r w:rsidRPr="00EA78E7">
            <w:rPr>
              <w:sz w:val="18"/>
              <w:szCs w:val="18"/>
            </w:rPr>
            <w:t>B-</w:t>
          </w:r>
          <w:r w:rsidRPr="00EA78E7">
            <w:rPr>
              <w:rStyle w:val="PageNumber"/>
              <w:color w:val="auto"/>
              <w:sz w:val="18"/>
              <w:szCs w:val="18"/>
            </w:rPr>
            <w:fldChar w:fldCharType="begin"/>
          </w:r>
          <w:r w:rsidRPr="00EA78E7">
            <w:rPr>
              <w:rStyle w:val="PageNumber"/>
              <w:color w:val="auto"/>
              <w:sz w:val="18"/>
              <w:szCs w:val="18"/>
            </w:rPr>
            <w:instrText xml:space="preserve"> PAGE </w:instrText>
          </w:r>
          <w:r w:rsidRPr="00EA78E7">
            <w:rPr>
              <w:rStyle w:val="PageNumber"/>
              <w:color w:val="auto"/>
              <w:sz w:val="18"/>
              <w:szCs w:val="18"/>
            </w:rPr>
            <w:fldChar w:fldCharType="separate"/>
          </w:r>
          <w:r w:rsidR="00006AF2">
            <w:rPr>
              <w:rStyle w:val="PageNumber"/>
              <w:noProof/>
              <w:color w:val="auto"/>
              <w:sz w:val="18"/>
              <w:szCs w:val="18"/>
            </w:rPr>
            <w:t>7</w:t>
          </w:r>
          <w:r w:rsidRPr="00EA78E7">
            <w:rPr>
              <w:rStyle w:val="PageNumber"/>
              <w:color w:val="auto"/>
              <w:sz w:val="18"/>
              <w:szCs w:val="18"/>
            </w:rPr>
            <w:fldChar w:fldCharType="end"/>
          </w:r>
        </w:p>
      </w:tc>
    </w:tr>
    <w:tr w:rsidR="00776E5F" w14:paraId="6A990E57" w14:textId="77777777" w:rsidTr="00F43EE1">
      <w:tc>
        <w:tcPr>
          <w:tcW w:w="5000" w:type="pct"/>
          <w:gridSpan w:val="2"/>
        </w:tcPr>
        <w:p w14:paraId="70899EAC" w14:textId="26A3CC8E" w:rsidR="00776E5F" w:rsidRDefault="006C18E1" w:rsidP="00CE17F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776E5F">
            <w:t>Official</w:t>
          </w:r>
          <w:r>
            <w:fldChar w:fldCharType="end"/>
          </w:r>
        </w:p>
      </w:tc>
    </w:tr>
  </w:tbl>
  <w:p w14:paraId="0CC80224" w14:textId="77777777" w:rsidR="00776E5F" w:rsidRPr="00CE17F4" w:rsidRDefault="00776E5F" w:rsidP="00CE17F4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1C46E" w14:textId="77777777" w:rsidR="006C18E1" w:rsidRDefault="006C18E1">
      <w:r>
        <w:separator/>
      </w:r>
    </w:p>
  </w:footnote>
  <w:footnote w:type="continuationSeparator" w:id="0">
    <w:p w14:paraId="46DFA521" w14:textId="77777777" w:rsidR="006C18E1" w:rsidRDefault="006C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776E5F" w14:paraId="578D9409" w14:textId="77777777" w:rsidTr="00D70E74">
      <w:tc>
        <w:tcPr>
          <w:tcW w:w="5000" w:type="pct"/>
          <w:gridSpan w:val="2"/>
        </w:tcPr>
        <w:p w14:paraId="4FCF1CB8" w14:textId="5655407C" w:rsidR="00776E5F" w:rsidRDefault="006C18E1" w:rsidP="00871BCF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776E5F">
            <w:t>Official</w:t>
          </w:r>
          <w:r>
            <w:fldChar w:fldCharType="end"/>
          </w:r>
        </w:p>
      </w:tc>
    </w:tr>
    <w:tr w:rsidR="00776E5F" w14:paraId="6AFB8285" w14:textId="77777777" w:rsidTr="00D70E74">
      <w:tc>
        <w:tcPr>
          <w:tcW w:w="2500" w:type="pct"/>
        </w:tcPr>
        <w:p w14:paraId="6D750B43" w14:textId="1B30D437" w:rsidR="00776E5F" w:rsidRDefault="006C18E1" w:rsidP="00871BCF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76E5F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14:paraId="3E3DFC0E" w14:textId="2003F38C" w:rsidR="00776E5F" w:rsidRDefault="006C18E1" w:rsidP="00871BCF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76E5F">
            <w:t>PART 2</w:t>
          </w:r>
          <w:r>
            <w:fldChar w:fldCharType="end"/>
          </w:r>
        </w:p>
      </w:tc>
    </w:tr>
  </w:tbl>
  <w:p w14:paraId="4DCB1590" w14:textId="09075E9C" w:rsidR="00776E5F" w:rsidRPr="00D22D88" w:rsidRDefault="00776E5F" w:rsidP="00871BCF">
    <w:pPr>
      <w:pStyle w:val="ASDEFCONTitle"/>
    </w:pPr>
    <w:r w:rsidRPr="00D22D88">
      <w:t>Attachment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B73A6"/>
    <w:multiLevelType w:val="multilevel"/>
    <w:tmpl w:val="E46CA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436514"/>
    <w:multiLevelType w:val="multilevel"/>
    <w:tmpl w:val="6F8A902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6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4"/>
  </w:num>
  <w:num w:numId="4">
    <w:abstractNumId w:val="15"/>
  </w:num>
  <w:num w:numId="5">
    <w:abstractNumId w:val="6"/>
  </w:num>
  <w:num w:numId="6">
    <w:abstractNumId w:val="20"/>
  </w:num>
  <w:num w:numId="7">
    <w:abstractNumId w:val="1"/>
  </w:num>
  <w:num w:numId="8">
    <w:abstractNumId w:val="27"/>
  </w:num>
  <w:num w:numId="9">
    <w:abstractNumId w:val="9"/>
  </w:num>
  <w:num w:numId="10">
    <w:abstractNumId w:val="31"/>
  </w:num>
  <w:num w:numId="11">
    <w:abstractNumId w:val="40"/>
  </w:num>
  <w:num w:numId="12">
    <w:abstractNumId w:val="4"/>
  </w:num>
  <w:num w:numId="13">
    <w:abstractNumId w:val="35"/>
  </w:num>
  <w:num w:numId="14">
    <w:abstractNumId w:val="25"/>
  </w:num>
  <w:num w:numId="15">
    <w:abstractNumId w:val="37"/>
  </w:num>
  <w:num w:numId="16">
    <w:abstractNumId w:val="38"/>
  </w:num>
  <w:num w:numId="17">
    <w:abstractNumId w:val="13"/>
  </w:num>
  <w:num w:numId="18">
    <w:abstractNumId w:val="16"/>
  </w:num>
  <w:num w:numId="19">
    <w:abstractNumId w:val="41"/>
  </w:num>
  <w:num w:numId="20">
    <w:abstractNumId w:val="24"/>
  </w:num>
  <w:num w:numId="21">
    <w:abstractNumId w:val="32"/>
  </w:num>
  <w:num w:numId="22">
    <w:abstractNumId w:val="46"/>
  </w:num>
  <w:num w:numId="23">
    <w:abstractNumId w:val="17"/>
  </w:num>
  <w:num w:numId="24">
    <w:abstractNumId w:val="21"/>
  </w:num>
  <w:num w:numId="25">
    <w:abstractNumId w:val="48"/>
  </w:num>
  <w:num w:numId="26">
    <w:abstractNumId w:val="12"/>
  </w:num>
  <w:num w:numId="27">
    <w:abstractNumId w:val="10"/>
  </w:num>
  <w:num w:numId="28">
    <w:abstractNumId w:val="2"/>
  </w:num>
  <w:num w:numId="29">
    <w:abstractNumId w:val="7"/>
  </w:num>
  <w:num w:numId="30">
    <w:abstractNumId w:val="19"/>
  </w:num>
  <w:num w:numId="31">
    <w:abstractNumId w:val="0"/>
  </w:num>
  <w:num w:numId="32">
    <w:abstractNumId w:val="28"/>
  </w:num>
  <w:num w:numId="33">
    <w:abstractNumId w:val="43"/>
  </w:num>
  <w:num w:numId="34">
    <w:abstractNumId w:val="39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44"/>
  </w:num>
  <w:num w:numId="38">
    <w:abstractNumId w:val="44"/>
  </w:num>
  <w:num w:numId="39">
    <w:abstractNumId w:val="22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8"/>
  </w:num>
  <w:num w:numId="49">
    <w:abstractNumId w:val="47"/>
  </w:num>
  <w:num w:numId="50">
    <w:abstractNumId w:val="18"/>
  </w:num>
  <w:num w:numId="51">
    <w:abstractNumId w:val="30"/>
  </w:num>
  <w:num w:numId="52">
    <w:abstractNumId w:val="11"/>
  </w:num>
  <w:num w:numId="53">
    <w:abstractNumId w:val="5"/>
  </w:num>
  <w:num w:numId="54">
    <w:abstractNumId w:val="34"/>
  </w:num>
  <w:num w:numId="55">
    <w:abstractNumId w:val="36"/>
  </w:num>
  <w:num w:numId="56">
    <w:abstractNumId w:val="44"/>
  </w:num>
  <w:num w:numId="5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7"/>
  </w:num>
  <w:num w:numId="60">
    <w:abstractNumId w:val="17"/>
  </w:num>
  <w:num w:numId="6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8"/>
  </w:num>
  <w:num w:numId="70">
    <w:abstractNumId w:val="38"/>
  </w:num>
  <w:num w:numId="71">
    <w:abstractNumId w:val="38"/>
  </w:num>
  <w:num w:numId="72">
    <w:abstractNumId w:val="38"/>
  </w:num>
  <w:num w:numId="73">
    <w:abstractNumId w:val="3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E5"/>
    <w:rsid w:val="00003630"/>
    <w:rsid w:val="00004C6D"/>
    <w:rsid w:val="000064A4"/>
    <w:rsid w:val="000067F9"/>
    <w:rsid w:val="00006AF2"/>
    <w:rsid w:val="00006DFB"/>
    <w:rsid w:val="00007508"/>
    <w:rsid w:val="0001002C"/>
    <w:rsid w:val="00010B4C"/>
    <w:rsid w:val="000138DE"/>
    <w:rsid w:val="000213C3"/>
    <w:rsid w:val="0002282E"/>
    <w:rsid w:val="00022D68"/>
    <w:rsid w:val="000241E4"/>
    <w:rsid w:val="00024DA0"/>
    <w:rsid w:val="00026868"/>
    <w:rsid w:val="00030639"/>
    <w:rsid w:val="00036164"/>
    <w:rsid w:val="0003632A"/>
    <w:rsid w:val="0003714B"/>
    <w:rsid w:val="00040F98"/>
    <w:rsid w:val="000463AF"/>
    <w:rsid w:val="00050745"/>
    <w:rsid w:val="000508C8"/>
    <w:rsid w:val="00056175"/>
    <w:rsid w:val="00060100"/>
    <w:rsid w:val="0006100D"/>
    <w:rsid w:val="00064D33"/>
    <w:rsid w:val="00071442"/>
    <w:rsid w:val="0007210A"/>
    <w:rsid w:val="00073462"/>
    <w:rsid w:val="00073874"/>
    <w:rsid w:val="000767C9"/>
    <w:rsid w:val="000812FD"/>
    <w:rsid w:val="00083F9C"/>
    <w:rsid w:val="0008520A"/>
    <w:rsid w:val="00090D17"/>
    <w:rsid w:val="00093F54"/>
    <w:rsid w:val="00094641"/>
    <w:rsid w:val="00097ACE"/>
    <w:rsid w:val="00097D73"/>
    <w:rsid w:val="000A4F96"/>
    <w:rsid w:val="000A535F"/>
    <w:rsid w:val="000B0F08"/>
    <w:rsid w:val="000B10F8"/>
    <w:rsid w:val="000B3801"/>
    <w:rsid w:val="000B40C8"/>
    <w:rsid w:val="000B4F8C"/>
    <w:rsid w:val="000B6516"/>
    <w:rsid w:val="000B7A4F"/>
    <w:rsid w:val="000C4060"/>
    <w:rsid w:val="000C5680"/>
    <w:rsid w:val="000C74E7"/>
    <w:rsid w:val="000C7762"/>
    <w:rsid w:val="000D150F"/>
    <w:rsid w:val="000D1C37"/>
    <w:rsid w:val="000D3C1A"/>
    <w:rsid w:val="000D542E"/>
    <w:rsid w:val="000D644F"/>
    <w:rsid w:val="000D7410"/>
    <w:rsid w:val="000D7583"/>
    <w:rsid w:val="000E17A9"/>
    <w:rsid w:val="000E2DA2"/>
    <w:rsid w:val="000E2E9F"/>
    <w:rsid w:val="000E3829"/>
    <w:rsid w:val="000E3B13"/>
    <w:rsid w:val="000E7793"/>
    <w:rsid w:val="000F2B0C"/>
    <w:rsid w:val="0010013F"/>
    <w:rsid w:val="001022F9"/>
    <w:rsid w:val="001025CB"/>
    <w:rsid w:val="00104A24"/>
    <w:rsid w:val="00106FAD"/>
    <w:rsid w:val="001078DB"/>
    <w:rsid w:val="001103D6"/>
    <w:rsid w:val="00112829"/>
    <w:rsid w:val="0011332E"/>
    <w:rsid w:val="00113410"/>
    <w:rsid w:val="00113E6A"/>
    <w:rsid w:val="00115BEC"/>
    <w:rsid w:val="00121B0A"/>
    <w:rsid w:val="00121F0C"/>
    <w:rsid w:val="00132FEE"/>
    <w:rsid w:val="00133639"/>
    <w:rsid w:val="001345DA"/>
    <w:rsid w:val="001348A4"/>
    <w:rsid w:val="001350A9"/>
    <w:rsid w:val="00137A35"/>
    <w:rsid w:val="00137D76"/>
    <w:rsid w:val="00144316"/>
    <w:rsid w:val="00144797"/>
    <w:rsid w:val="00144D59"/>
    <w:rsid w:val="00151DE4"/>
    <w:rsid w:val="00152836"/>
    <w:rsid w:val="00154687"/>
    <w:rsid w:val="00156CE3"/>
    <w:rsid w:val="00157783"/>
    <w:rsid w:val="00161F8B"/>
    <w:rsid w:val="001715FB"/>
    <w:rsid w:val="00173858"/>
    <w:rsid w:val="0017479C"/>
    <w:rsid w:val="00175FC2"/>
    <w:rsid w:val="00176FEB"/>
    <w:rsid w:val="00177E38"/>
    <w:rsid w:val="00180BFA"/>
    <w:rsid w:val="00190FAE"/>
    <w:rsid w:val="0019196D"/>
    <w:rsid w:val="00192E84"/>
    <w:rsid w:val="001A07B2"/>
    <w:rsid w:val="001A18B3"/>
    <w:rsid w:val="001A2A7A"/>
    <w:rsid w:val="001A2BDA"/>
    <w:rsid w:val="001A3082"/>
    <w:rsid w:val="001A4137"/>
    <w:rsid w:val="001A559A"/>
    <w:rsid w:val="001A616C"/>
    <w:rsid w:val="001B27D7"/>
    <w:rsid w:val="001B3D9C"/>
    <w:rsid w:val="001B650C"/>
    <w:rsid w:val="001B7B7B"/>
    <w:rsid w:val="001C09EE"/>
    <w:rsid w:val="001C3B35"/>
    <w:rsid w:val="001C7D4B"/>
    <w:rsid w:val="001D14B6"/>
    <w:rsid w:val="001D291D"/>
    <w:rsid w:val="001D55F9"/>
    <w:rsid w:val="001E32AE"/>
    <w:rsid w:val="001E3423"/>
    <w:rsid w:val="001F2354"/>
    <w:rsid w:val="001F2D7E"/>
    <w:rsid w:val="001F2E83"/>
    <w:rsid w:val="001F74B6"/>
    <w:rsid w:val="00205294"/>
    <w:rsid w:val="002060CD"/>
    <w:rsid w:val="00206F58"/>
    <w:rsid w:val="002117F2"/>
    <w:rsid w:val="0021338F"/>
    <w:rsid w:val="002148D7"/>
    <w:rsid w:val="00223CA8"/>
    <w:rsid w:val="0023137F"/>
    <w:rsid w:val="00240187"/>
    <w:rsid w:val="00243719"/>
    <w:rsid w:val="002449F4"/>
    <w:rsid w:val="00246DBC"/>
    <w:rsid w:val="0025466F"/>
    <w:rsid w:val="002574CF"/>
    <w:rsid w:val="00263B9C"/>
    <w:rsid w:val="002708D2"/>
    <w:rsid w:val="00272F4E"/>
    <w:rsid w:val="00274AF8"/>
    <w:rsid w:val="00275429"/>
    <w:rsid w:val="00275B40"/>
    <w:rsid w:val="00277C77"/>
    <w:rsid w:val="00287145"/>
    <w:rsid w:val="0028782C"/>
    <w:rsid w:val="00293172"/>
    <w:rsid w:val="002939A7"/>
    <w:rsid w:val="002959EF"/>
    <w:rsid w:val="002A0878"/>
    <w:rsid w:val="002A29EA"/>
    <w:rsid w:val="002A378E"/>
    <w:rsid w:val="002A5C6D"/>
    <w:rsid w:val="002B2B04"/>
    <w:rsid w:val="002B2F22"/>
    <w:rsid w:val="002B7F36"/>
    <w:rsid w:val="002C32A1"/>
    <w:rsid w:val="002C412D"/>
    <w:rsid w:val="002C4937"/>
    <w:rsid w:val="002C6E9D"/>
    <w:rsid w:val="002C74F9"/>
    <w:rsid w:val="002D1B76"/>
    <w:rsid w:val="002D2F7B"/>
    <w:rsid w:val="002E1955"/>
    <w:rsid w:val="002E405D"/>
    <w:rsid w:val="002E4688"/>
    <w:rsid w:val="002F2EBD"/>
    <w:rsid w:val="002F316F"/>
    <w:rsid w:val="0030172B"/>
    <w:rsid w:val="00307891"/>
    <w:rsid w:val="00307DA2"/>
    <w:rsid w:val="00311232"/>
    <w:rsid w:val="00312CA0"/>
    <w:rsid w:val="00313426"/>
    <w:rsid w:val="003147C6"/>
    <w:rsid w:val="00316872"/>
    <w:rsid w:val="00320CD3"/>
    <w:rsid w:val="003212FE"/>
    <w:rsid w:val="003216C0"/>
    <w:rsid w:val="00321B17"/>
    <w:rsid w:val="00324ECD"/>
    <w:rsid w:val="00325D11"/>
    <w:rsid w:val="0032678C"/>
    <w:rsid w:val="00330338"/>
    <w:rsid w:val="00333E41"/>
    <w:rsid w:val="003370AC"/>
    <w:rsid w:val="00341AFA"/>
    <w:rsid w:val="00342521"/>
    <w:rsid w:val="003463EE"/>
    <w:rsid w:val="00346B2B"/>
    <w:rsid w:val="003512C1"/>
    <w:rsid w:val="00353059"/>
    <w:rsid w:val="00356C53"/>
    <w:rsid w:val="003570E8"/>
    <w:rsid w:val="003611F4"/>
    <w:rsid w:val="00363A06"/>
    <w:rsid w:val="00363F79"/>
    <w:rsid w:val="00371C0A"/>
    <w:rsid w:val="00382511"/>
    <w:rsid w:val="0038332E"/>
    <w:rsid w:val="003837B3"/>
    <w:rsid w:val="0038710B"/>
    <w:rsid w:val="00392DC6"/>
    <w:rsid w:val="00393AFD"/>
    <w:rsid w:val="00393D05"/>
    <w:rsid w:val="003B48BE"/>
    <w:rsid w:val="003C5640"/>
    <w:rsid w:val="003C5859"/>
    <w:rsid w:val="003D7CC6"/>
    <w:rsid w:val="003E15AB"/>
    <w:rsid w:val="003E26D9"/>
    <w:rsid w:val="003E6E64"/>
    <w:rsid w:val="003E7D0E"/>
    <w:rsid w:val="003F6E8C"/>
    <w:rsid w:val="003F6F40"/>
    <w:rsid w:val="004075FB"/>
    <w:rsid w:val="004119D5"/>
    <w:rsid w:val="004155AD"/>
    <w:rsid w:val="00416AB8"/>
    <w:rsid w:val="00416D02"/>
    <w:rsid w:val="004205F4"/>
    <w:rsid w:val="0042080E"/>
    <w:rsid w:val="00420CB6"/>
    <w:rsid w:val="004236BC"/>
    <w:rsid w:val="004254FC"/>
    <w:rsid w:val="00426B1E"/>
    <w:rsid w:val="00426E4A"/>
    <w:rsid w:val="00434B92"/>
    <w:rsid w:val="0043573C"/>
    <w:rsid w:val="00441A82"/>
    <w:rsid w:val="004429C1"/>
    <w:rsid w:val="00455DC3"/>
    <w:rsid w:val="00461589"/>
    <w:rsid w:val="00462FC1"/>
    <w:rsid w:val="004674D1"/>
    <w:rsid w:val="00473B6E"/>
    <w:rsid w:val="0047527D"/>
    <w:rsid w:val="00475CC8"/>
    <w:rsid w:val="00476E27"/>
    <w:rsid w:val="004815E5"/>
    <w:rsid w:val="004816DF"/>
    <w:rsid w:val="00482F8E"/>
    <w:rsid w:val="0048764E"/>
    <w:rsid w:val="00490894"/>
    <w:rsid w:val="004A285E"/>
    <w:rsid w:val="004A63EA"/>
    <w:rsid w:val="004B0350"/>
    <w:rsid w:val="004B0EDF"/>
    <w:rsid w:val="004B1169"/>
    <w:rsid w:val="004B2377"/>
    <w:rsid w:val="004B6314"/>
    <w:rsid w:val="004B7194"/>
    <w:rsid w:val="004D088F"/>
    <w:rsid w:val="004D3F14"/>
    <w:rsid w:val="004D4308"/>
    <w:rsid w:val="004D5286"/>
    <w:rsid w:val="004E441E"/>
    <w:rsid w:val="004E602D"/>
    <w:rsid w:val="004E61F9"/>
    <w:rsid w:val="004F1AEA"/>
    <w:rsid w:val="004F41D2"/>
    <w:rsid w:val="004F4A68"/>
    <w:rsid w:val="004F7066"/>
    <w:rsid w:val="00500A22"/>
    <w:rsid w:val="00503DC0"/>
    <w:rsid w:val="005051FD"/>
    <w:rsid w:val="00505FEA"/>
    <w:rsid w:val="00507AF6"/>
    <w:rsid w:val="00507B10"/>
    <w:rsid w:val="0051267D"/>
    <w:rsid w:val="00512F98"/>
    <w:rsid w:val="00514D9D"/>
    <w:rsid w:val="00516BA8"/>
    <w:rsid w:val="0052090B"/>
    <w:rsid w:val="005211DA"/>
    <w:rsid w:val="00525FF1"/>
    <w:rsid w:val="00526ED4"/>
    <w:rsid w:val="00530246"/>
    <w:rsid w:val="00531149"/>
    <w:rsid w:val="00535015"/>
    <w:rsid w:val="00543EF9"/>
    <w:rsid w:val="00547EA9"/>
    <w:rsid w:val="00550D96"/>
    <w:rsid w:val="00553A2D"/>
    <w:rsid w:val="00556551"/>
    <w:rsid w:val="00557064"/>
    <w:rsid w:val="00563503"/>
    <w:rsid w:val="0056720F"/>
    <w:rsid w:val="00572708"/>
    <w:rsid w:val="00572CBA"/>
    <w:rsid w:val="005734BA"/>
    <w:rsid w:val="0057477B"/>
    <w:rsid w:val="00576587"/>
    <w:rsid w:val="005770C9"/>
    <w:rsid w:val="00577361"/>
    <w:rsid w:val="00584BF7"/>
    <w:rsid w:val="005860EB"/>
    <w:rsid w:val="00590EDE"/>
    <w:rsid w:val="005957BD"/>
    <w:rsid w:val="00595A8F"/>
    <w:rsid w:val="00597EEA"/>
    <w:rsid w:val="005A29BB"/>
    <w:rsid w:val="005A3915"/>
    <w:rsid w:val="005A5ADA"/>
    <w:rsid w:val="005A63C6"/>
    <w:rsid w:val="005A6A68"/>
    <w:rsid w:val="005B0ED3"/>
    <w:rsid w:val="005B51E2"/>
    <w:rsid w:val="005B7F25"/>
    <w:rsid w:val="005C040F"/>
    <w:rsid w:val="005C2FE4"/>
    <w:rsid w:val="005C332E"/>
    <w:rsid w:val="005C5812"/>
    <w:rsid w:val="005C5F98"/>
    <w:rsid w:val="005D01F7"/>
    <w:rsid w:val="005D0D48"/>
    <w:rsid w:val="005D37B6"/>
    <w:rsid w:val="005E0755"/>
    <w:rsid w:val="005E67D7"/>
    <w:rsid w:val="005F05DA"/>
    <w:rsid w:val="005F15B8"/>
    <w:rsid w:val="005F27C6"/>
    <w:rsid w:val="005F6553"/>
    <w:rsid w:val="00603854"/>
    <w:rsid w:val="0061031D"/>
    <w:rsid w:val="0061069A"/>
    <w:rsid w:val="0061583F"/>
    <w:rsid w:val="00616441"/>
    <w:rsid w:val="0062165D"/>
    <w:rsid w:val="00621DB0"/>
    <w:rsid w:val="006242B1"/>
    <w:rsid w:val="0062453F"/>
    <w:rsid w:val="006252D1"/>
    <w:rsid w:val="006415FB"/>
    <w:rsid w:val="006435EA"/>
    <w:rsid w:val="00643F22"/>
    <w:rsid w:val="0064569A"/>
    <w:rsid w:val="0064638C"/>
    <w:rsid w:val="0064675F"/>
    <w:rsid w:val="006473A1"/>
    <w:rsid w:val="00651B6E"/>
    <w:rsid w:val="00653341"/>
    <w:rsid w:val="00653A67"/>
    <w:rsid w:val="0066092F"/>
    <w:rsid w:val="00661071"/>
    <w:rsid w:val="00662E91"/>
    <w:rsid w:val="00663AA3"/>
    <w:rsid w:val="006704DB"/>
    <w:rsid w:val="0067471B"/>
    <w:rsid w:val="00675C9C"/>
    <w:rsid w:val="006774B9"/>
    <w:rsid w:val="00682EDA"/>
    <w:rsid w:val="00683764"/>
    <w:rsid w:val="00685FA6"/>
    <w:rsid w:val="00687415"/>
    <w:rsid w:val="0069493F"/>
    <w:rsid w:val="006958DE"/>
    <w:rsid w:val="006A3EDB"/>
    <w:rsid w:val="006A48C7"/>
    <w:rsid w:val="006A4A92"/>
    <w:rsid w:val="006A5310"/>
    <w:rsid w:val="006A7A79"/>
    <w:rsid w:val="006B25CC"/>
    <w:rsid w:val="006B28C8"/>
    <w:rsid w:val="006B4EFE"/>
    <w:rsid w:val="006C18E1"/>
    <w:rsid w:val="006C5213"/>
    <w:rsid w:val="006C54A8"/>
    <w:rsid w:val="006C7B6F"/>
    <w:rsid w:val="006C7EFF"/>
    <w:rsid w:val="006D0690"/>
    <w:rsid w:val="006D18EF"/>
    <w:rsid w:val="006D1DF8"/>
    <w:rsid w:val="006D33BB"/>
    <w:rsid w:val="006D442F"/>
    <w:rsid w:val="006D68AB"/>
    <w:rsid w:val="006E0809"/>
    <w:rsid w:val="006E0BB7"/>
    <w:rsid w:val="006E1B4F"/>
    <w:rsid w:val="006E602A"/>
    <w:rsid w:val="006F0742"/>
    <w:rsid w:val="006F0D6B"/>
    <w:rsid w:val="006F19BA"/>
    <w:rsid w:val="006F1D66"/>
    <w:rsid w:val="006F6274"/>
    <w:rsid w:val="006F6D59"/>
    <w:rsid w:val="0070501D"/>
    <w:rsid w:val="00710E9C"/>
    <w:rsid w:val="00717347"/>
    <w:rsid w:val="00720D4B"/>
    <w:rsid w:val="00723937"/>
    <w:rsid w:val="00724B46"/>
    <w:rsid w:val="00730AC8"/>
    <w:rsid w:val="00730D7F"/>
    <w:rsid w:val="007359CB"/>
    <w:rsid w:val="00736955"/>
    <w:rsid w:val="00737A88"/>
    <w:rsid w:val="007423E4"/>
    <w:rsid w:val="00743760"/>
    <w:rsid w:val="007513B5"/>
    <w:rsid w:val="00751AC0"/>
    <w:rsid w:val="007556FA"/>
    <w:rsid w:val="00761DD6"/>
    <w:rsid w:val="0076747D"/>
    <w:rsid w:val="00767EA3"/>
    <w:rsid w:val="00772506"/>
    <w:rsid w:val="00776E5F"/>
    <w:rsid w:val="00777D93"/>
    <w:rsid w:val="0078475A"/>
    <w:rsid w:val="0078556A"/>
    <w:rsid w:val="00787A8B"/>
    <w:rsid w:val="007924F3"/>
    <w:rsid w:val="0079585A"/>
    <w:rsid w:val="007968C6"/>
    <w:rsid w:val="00797517"/>
    <w:rsid w:val="007A37C4"/>
    <w:rsid w:val="007A5702"/>
    <w:rsid w:val="007A7CCB"/>
    <w:rsid w:val="007B130F"/>
    <w:rsid w:val="007B3C6C"/>
    <w:rsid w:val="007B4C9B"/>
    <w:rsid w:val="007C51EA"/>
    <w:rsid w:val="007D02AA"/>
    <w:rsid w:val="007D351A"/>
    <w:rsid w:val="007D5521"/>
    <w:rsid w:val="007D60A6"/>
    <w:rsid w:val="007D7A27"/>
    <w:rsid w:val="007E2244"/>
    <w:rsid w:val="007E5772"/>
    <w:rsid w:val="007F5DEC"/>
    <w:rsid w:val="007F75FB"/>
    <w:rsid w:val="00801E4E"/>
    <w:rsid w:val="0080703E"/>
    <w:rsid w:val="008105BE"/>
    <w:rsid w:val="0081076E"/>
    <w:rsid w:val="00813641"/>
    <w:rsid w:val="00815349"/>
    <w:rsid w:val="00815FB3"/>
    <w:rsid w:val="00820E23"/>
    <w:rsid w:val="0082346E"/>
    <w:rsid w:val="00825EF0"/>
    <w:rsid w:val="00826615"/>
    <w:rsid w:val="00831009"/>
    <w:rsid w:val="008366D5"/>
    <w:rsid w:val="008401AD"/>
    <w:rsid w:val="00841472"/>
    <w:rsid w:val="0084171A"/>
    <w:rsid w:val="0084551C"/>
    <w:rsid w:val="00846C85"/>
    <w:rsid w:val="008474A9"/>
    <w:rsid w:val="00852A97"/>
    <w:rsid w:val="0085460C"/>
    <w:rsid w:val="00856118"/>
    <w:rsid w:val="0086052E"/>
    <w:rsid w:val="00861AE3"/>
    <w:rsid w:val="008632CE"/>
    <w:rsid w:val="00863C7F"/>
    <w:rsid w:val="008658F6"/>
    <w:rsid w:val="00866302"/>
    <w:rsid w:val="00866EBD"/>
    <w:rsid w:val="00867FE9"/>
    <w:rsid w:val="0087023B"/>
    <w:rsid w:val="00871BCF"/>
    <w:rsid w:val="0087367E"/>
    <w:rsid w:val="00873B1A"/>
    <w:rsid w:val="008748BB"/>
    <w:rsid w:val="00880C20"/>
    <w:rsid w:val="00880FF3"/>
    <w:rsid w:val="00884568"/>
    <w:rsid w:val="0088532F"/>
    <w:rsid w:val="00885434"/>
    <w:rsid w:val="00887457"/>
    <w:rsid w:val="00891B83"/>
    <w:rsid w:val="008923C7"/>
    <w:rsid w:val="008935D8"/>
    <w:rsid w:val="008A2464"/>
    <w:rsid w:val="008A258B"/>
    <w:rsid w:val="008A2BB9"/>
    <w:rsid w:val="008C09E0"/>
    <w:rsid w:val="008C2392"/>
    <w:rsid w:val="008D1FDB"/>
    <w:rsid w:val="008D39EE"/>
    <w:rsid w:val="008E0208"/>
    <w:rsid w:val="008E191B"/>
    <w:rsid w:val="008E565D"/>
    <w:rsid w:val="008E75DB"/>
    <w:rsid w:val="008F15A7"/>
    <w:rsid w:val="008F76EA"/>
    <w:rsid w:val="00901668"/>
    <w:rsid w:val="009048BA"/>
    <w:rsid w:val="00905DF0"/>
    <w:rsid w:val="00911D87"/>
    <w:rsid w:val="00914D19"/>
    <w:rsid w:val="009171DB"/>
    <w:rsid w:val="00920EAD"/>
    <w:rsid w:val="00927B8C"/>
    <w:rsid w:val="009309C1"/>
    <w:rsid w:val="009314DC"/>
    <w:rsid w:val="00933376"/>
    <w:rsid w:val="00941DD1"/>
    <w:rsid w:val="009435D8"/>
    <w:rsid w:val="0095091E"/>
    <w:rsid w:val="00955C64"/>
    <w:rsid w:val="00957F52"/>
    <w:rsid w:val="00962A99"/>
    <w:rsid w:val="00962CEA"/>
    <w:rsid w:val="009630F4"/>
    <w:rsid w:val="00965C19"/>
    <w:rsid w:val="009663DF"/>
    <w:rsid w:val="0097596F"/>
    <w:rsid w:val="00984A53"/>
    <w:rsid w:val="00987271"/>
    <w:rsid w:val="0099680C"/>
    <w:rsid w:val="00997F5D"/>
    <w:rsid w:val="009A0078"/>
    <w:rsid w:val="009A0369"/>
    <w:rsid w:val="009A06A0"/>
    <w:rsid w:val="009A0F62"/>
    <w:rsid w:val="009A13B7"/>
    <w:rsid w:val="009A1A6A"/>
    <w:rsid w:val="009A492C"/>
    <w:rsid w:val="009B3764"/>
    <w:rsid w:val="009C02CA"/>
    <w:rsid w:val="009C1C07"/>
    <w:rsid w:val="009C25AE"/>
    <w:rsid w:val="009C2E87"/>
    <w:rsid w:val="009D0755"/>
    <w:rsid w:val="009D0B25"/>
    <w:rsid w:val="009D17DB"/>
    <w:rsid w:val="009D2EF7"/>
    <w:rsid w:val="009D333A"/>
    <w:rsid w:val="009D5A16"/>
    <w:rsid w:val="009D661C"/>
    <w:rsid w:val="009E20B9"/>
    <w:rsid w:val="009E23B6"/>
    <w:rsid w:val="009E3226"/>
    <w:rsid w:val="009E6E09"/>
    <w:rsid w:val="009E7576"/>
    <w:rsid w:val="009F0EB0"/>
    <w:rsid w:val="009F18FD"/>
    <w:rsid w:val="009F5E17"/>
    <w:rsid w:val="00A13B7C"/>
    <w:rsid w:val="00A22FE7"/>
    <w:rsid w:val="00A2773F"/>
    <w:rsid w:val="00A31E4D"/>
    <w:rsid w:val="00A327FA"/>
    <w:rsid w:val="00A336C3"/>
    <w:rsid w:val="00A33D14"/>
    <w:rsid w:val="00A34929"/>
    <w:rsid w:val="00A40178"/>
    <w:rsid w:val="00A41B7F"/>
    <w:rsid w:val="00A432A9"/>
    <w:rsid w:val="00A50440"/>
    <w:rsid w:val="00A5156F"/>
    <w:rsid w:val="00A545FA"/>
    <w:rsid w:val="00A55919"/>
    <w:rsid w:val="00A6147D"/>
    <w:rsid w:val="00A6425C"/>
    <w:rsid w:val="00A6448F"/>
    <w:rsid w:val="00A65E03"/>
    <w:rsid w:val="00A70BA6"/>
    <w:rsid w:val="00A710DC"/>
    <w:rsid w:val="00A72DAF"/>
    <w:rsid w:val="00A75E35"/>
    <w:rsid w:val="00A75E7E"/>
    <w:rsid w:val="00A81371"/>
    <w:rsid w:val="00A82581"/>
    <w:rsid w:val="00A84ADE"/>
    <w:rsid w:val="00AA0D43"/>
    <w:rsid w:val="00AA24F2"/>
    <w:rsid w:val="00AA4873"/>
    <w:rsid w:val="00AA4F39"/>
    <w:rsid w:val="00AA61A4"/>
    <w:rsid w:val="00AA67B7"/>
    <w:rsid w:val="00AB0C01"/>
    <w:rsid w:val="00AB355D"/>
    <w:rsid w:val="00AC150A"/>
    <w:rsid w:val="00AC27C7"/>
    <w:rsid w:val="00AC5255"/>
    <w:rsid w:val="00AC541D"/>
    <w:rsid w:val="00AD2321"/>
    <w:rsid w:val="00AD262B"/>
    <w:rsid w:val="00AD26DF"/>
    <w:rsid w:val="00AD2ECA"/>
    <w:rsid w:val="00AD3AE2"/>
    <w:rsid w:val="00AD5EF5"/>
    <w:rsid w:val="00AD6D72"/>
    <w:rsid w:val="00AE0BF8"/>
    <w:rsid w:val="00AE1128"/>
    <w:rsid w:val="00AE34C2"/>
    <w:rsid w:val="00AE3EFB"/>
    <w:rsid w:val="00AE437E"/>
    <w:rsid w:val="00AE685D"/>
    <w:rsid w:val="00AF06FC"/>
    <w:rsid w:val="00AF1B97"/>
    <w:rsid w:val="00AF29A2"/>
    <w:rsid w:val="00AF2FAC"/>
    <w:rsid w:val="00AF330F"/>
    <w:rsid w:val="00B00739"/>
    <w:rsid w:val="00B011EE"/>
    <w:rsid w:val="00B0232B"/>
    <w:rsid w:val="00B06DD0"/>
    <w:rsid w:val="00B1328A"/>
    <w:rsid w:val="00B13B5E"/>
    <w:rsid w:val="00B1558F"/>
    <w:rsid w:val="00B15F4C"/>
    <w:rsid w:val="00B16EE4"/>
    <w:rsid w:val="00B2204F"/>
    <w:rsid w:val="00B31FF8"/>
    <w:rsid w:val="00B32640"/>
    <w:rsid w:val="00B33A1C"/>
    <w:rsid w:val="00B3529D"/>
    <w:rsid w:val="00B35478"/>
    <w:rsid w:val="00B35A6E"/>
    <w:rsid w:val="00B36547"/>
    <w:rsid w:val="00B41A97"/>
    <w:rsid w:val="00B42DE6"/>
    <w:rsid w:val="00B431CE"/>
    <w:rsid w:val="00B4390B"/>
    <w:rsid w:val="00B457C9"/>
    <w:rsid w:val="00B46F69"/>
    <w:rsid w:val="00B4704D"/>
    <w:rsid w:val="00B5073E"/>
    <w:rsid w:val="00B5120F"/>
    <w:rsid w:val="00B51508"/>
    <w:rsid w:val="00B52E8A"/>
    <w:rsid w:val="00B60AC8"/>
    <w:rsid w:val="00B61985"/>
    <w:rsid w:val="00B71AC3"/>
    <w:rsid w:val="00B7532B"/>
    <w:rsid w:val="00B833F1"/>
    <w:rsid w:val="00B850AC"/>
    <w:rsid w:val="00B90C65"/>
    <w:rsid w:val="00BA1547"/>
    <w:rsid w:val="00BA33B1"/>
    <w:rsid w:val="00BA43B6"/>
    <w:rsid w:val="00BA51CE"/>
    <w:rsid w:val="00BB4F3D"/>
    <w:rsid w:val="00BB5A80"/>
    <w:rsid w:val="00BB7EA7"/>
    <w:rsid w:val="00BC2EB3"/>
    <w:rsid w:val="00BC691C"/>
    <w:rsid w:val="00BD0466"/>
    <w:rsid w:val="00BD07E8"/>
    <w:rsid w:val="00BD088E"/>
    <w:rsid w:val="00BD4038"/>
    <w:rsid w:val="00BD5335"/>
    <w:rsid w:val="00BD668F"/>
    <w:rsid w:val="00BD72CA"/>
    <w:rsid w:val="00BD7C02"/>
    <w:rsid w:val="00BE0358"/>
    <w:rsid w:val="00BE0FA6"/>
    <w:rsid w:val="00BE0FB8"/>
    <w:rsid w:val="00BE2BCD"/>
    <w:rsid w:val="00BE37C3"/>
    <w:rsid w:val="00BE3D12"/>
    <w:rsid w:val="00BE4B7E"/>
    <w:rsid w:val="00BE5AB0"/>
    <w:rsid w:val="00BF140B"/>
    <w:rsid w:val="00BF7087"/>
    <w:rsid w:val="00C00D54"/>
    <w:rsid w:val="00C0491B"/>
    <w:rsid w:val="00C04B84"/>
    <w:rsid w:val="00C071C2"/>
    <w:rsid w:val="00C15E05"/>
    <w:rsid w:val="00C23BED"/>
    <w:rsid w:val="00C36A6F"/>
    <w:rsid w:val="00C36DC2"/>
    <w:rsid w:val="00C36E89"/>
    <w:rsid w:val="00C37FE3"/>
    <w:rsid w:val="00C417E7"/>
    <w:rsid w:val="00C41F7D"/>
    <w:rsid w:val="00C42349"/>
    <w:rsid w:val="00C425E0"/>
    <w:rsid w:val="00C42A59"/>
    <w:rsid w:val="00C4494A"/>
    <w:rsid w:val="00C46F2B"/>
    <w:rsid w:val="00C47A49"/>
    <w:rsid w:val="00C53BA9"/>
    <w:rsid w:val="00C5449D"/>
    <w:rsid w:val="00C569B7"/>
    <w:rsid w:val="00C57A75"/>
    <w:rsid w:val="00C677A5"/>
    <w:rsid w:val="00C807BD"/>
    <w:rsid w:val="00C81B09"/>
    <w:rsid w:val="00C81E11"/>
    <w:rsid w:val="00C855D4"/>
    <w:rsid w:val="00C85C36"/>
    <w:rsid w:val="00C96839"/>
    <w:rsid w:val="00CA1A58"/>
    <w:rsid w:val="00CA3363"/>
    <w:rsid w:val="00CA6CDA"/>
    <w:rsid w:val="00CA7991"/>
    <w:rsid w:val="00CB08A4"/>
    <w:rsid w:val="00CB2868"/>
    <w:rsid w:val="00CB310C"/>
    <w:rsid w:val="00CB7195"/>
    <w:rsid w:val="00CC122E"/>
    <w:rsid w:val="00CC166D"/>
    <w:rsid w:val="00CC67BB"/>
    <w:rsid w:val="00CD1668"/>
    <w:rsid w:val="00CD4B85"/>
    <w:rsid w:val="00CE17F4"/>
    <w:rsid w:val="00CE4546"/>
    <w:rsid w:val="00CF0D48"/>
    <w:rsid w:val="00CF14DC"/>
    <w:rsid w:val="00CF1D76"/>
    <w:rsid w:val="00D004E6"/>
    <w:rsid w:val="00D02156"/>
    <w:rsid w:val="00D0754A"/>
    <w:rsid w:val="00D14B62"/>
    <w:rsid w:val="00D22D88"/>
    <w:rsid w:val="00D235C0"/>
    <w:rsid w:val="00D24516"/>
    <w:rsid w:val="00D24D51"/>
    <w:rsid w:val="00D277F5"/>
    <w:rsid w:val="00D27F41"/>
    <w:rsid w:val="00D34010"/>
    <w:rsid w:val="00D35719"/>
    <w:rsid w:val="00D405B3"/>
    <w:rsid w:val="00D41EE1"/>
    <w:rsid w:val="00D43CC4"/>
    <w:rsid w:val="00D44A79"/>
    <w:rsid w:val="00D45B6E"/>
    <w:rsid w:val="00D476E9"/>
    <w:rsid w:val="00D47CB0"/>
    <w:rsid w:val="00D51A2B"/>
    <w:rsid w:val="00D52D2F"/>
    <w:rsid w:val="00D55C5B"/>
    <w:rsid w:val="00D569BA"/>
    <w:rsid w:val="00D57994"/>
    <w:rsid w:val="00D6035D"/>
    <w:rsid w:val="00D63871"/>
    <w:rsid w:val="00D63B74"/>
    <w:rsid w:val="00D673D1"/>
    <w:rsid w:val="00D70E74"/>
    <w:rsid w:val="00D76D7B"/>
    <w:rsid w:val="00D879BA"/>
    <w:rsid w:val="00D91E7B"/>
    <w:rsid w:val="00D9257F"/>
    <w:rsid w:val="00D95915"/>
    <w:rsid w:val="00D95F7C"/>
    <w:rsid w:val="00D97E00"/>
    <w:rsid w:val="00DA2566"/>
    <w:rsid w:val="00DA3A02"/>
    <w:rsid w:val="00DA6C87"/>
    <w:rsid w:val="00DA79F9"/>
    <w:rsid w:val="00DB0308"/>
    <w:rsid w:val="00DB0E47"/>
    <w:rsid w:val="00DB2389"/>
    <w:rsid w:val="00DB53B5"/>
    <w:rsid w:val="00DC2AE1"/>
    <w:rsid w:val="00DC2DA4"/>
    <w:rsid w:val="00DD3CC0"/>
    <w:rsid w:val="00DE05F7"/>
    <w:rsid w:val="00DE093D"/>
    <w:rsid w:val="00DE3DAC"/>
    <w:rsid w:val="00DE3FB2"/>
    <w:rsid w:val="00DF003D"/>
    <w:rsid w:val="00DF17FA"/>
    <w:rsid w:val="00DF32A3"/>
    <w:rsid w:val="00DF77A1"/>
    <w:rsid w:val="00DF7811"/>
    <w:rsid w:val="00E011A8"/>
    <w:rsid w:val="00E0253B"/>
    <w:rsid w:val="00E02EFF"/>
    <w:rsid w:val="00E03809"/>
    <w:rsid w:val="00E06DF9"/>
    <w:rsid w:val="00E1117B"/>
    <w:rsid w:val="00E12F37"/>
    <w:rsid w:val="00E135E4"/>
    <w:rsid w:val="00E162F8"/>
    <w:rsid w:val="00E16F30"/>
    <w:rsid w:val="00E20680"/>
    <w:rsid w:val="00E20ED9"/>
    <w:rsid w:val="00E225DD"/>
    <w:rsid w:val="00E23D1E"/>
    <w:rsid w:val="00E258B2"/>
    <w:rsid w:val="00E27C9F"/>
    <w:rsid w:val="00E30D69"/>
    <w:rsid w:val="00E317FB"/>
    <w:rsid w:val="00E32757"/>
    <w:rsid w:val="00E33021"/>
    <w:rsid w:val="00E37044"/>
    <w:rsid w:val="00E424A4"/>
    <w:rsid w:val="00E42E5D"/>
    <w:rsid w:val="00E46A03"/>
    <w:rsid w:val="00E4765A"/>
    <w:rsid w:val="00E4766B"/>
    <w:rsid w:val="00E509FF"/>
    <w:rsid w:val="00E5171D"/>
    <w:rsid w:val="00E52A16"/>
    <w:rsid w:val="00E56028"/>
    <w:rsid w:val="00E56D83"/>
    <w:rsid w:val="00E63CF0"/>
    <w:rsid w:val="00E670B7"/>
    <w:rsid w:val="00E7302A"/>
    <w:rsid w:val="00E73810"/>
    <w:rsid w:val="00E778BF"/>
    <w:rsid w:val="00E80DAD"/>
    <w:rsid w:val="00E81DEF"/>
    <w:rsid w:val="00E87AED"/>
    <w:rsid w:val="00E904B5"/>
    <w:rsid w:val="00E94361"/>
    <w:rsid w:val="00E95AB6"/>
    <w:rsid w:val="00EA11BC"/>
    <w:rsid w:val="00EA4957"/>
    <w:rsid w:val="00EA7715"/>
    <w:rsid w:val="00EA78E7"/>
    <w:rsid w:val="00EB0C14"/>
    <w:rsid w:val="00EB4DD2"/>
    <w:rsid w:val="00EB52AF"/>
    <w:rsid w:val="00EB6953"/>
    <w:rsid w:val="00EB6BAE"/>
    <w:rsid w:val="00EB70A8"/>
    <w:rsid w:val="00EC1204"/>
    <w:rsid w:val="00EC1CB5"/>
    <w:rsid w:val="00EC3716"/>
    <w:rsid w:val="00EC66F1"/>
    <w:rsid w:val="00ED0B1C"/>
    <w:rsid w:val="00ED2F7A"/>
    <w:rsid w:val="00ED339A"/>
    <w:rsid w:val="00ED4360"/>
    <w:rsid w:val="00EE0BA7"/>
    <w:rsid w:val="00EE3C46"/>
    <w:rsid w:val="00EE3D51"/>
    <w:rsid w:val="00EE7B25"/>
    <w:rsid w:val="00EF07AA"/>
    <w:rsid w:val="00F030FC"/>
    <w:rsid w:val="00F059BC"/>
    <w:rsid w:val="00F06027"/>
    <w:rsid w:val="00F061CF"/>
    <w:rsid w:val="00F06365"/>
    <w:rsid w:val="00F121CA"/>
    <w:rsid w:val="00F12ADF"/>
    <w:rsid w:val="00F14035"/>
    <w:rsid w:val="00F1545F"/>
    <w:rsid w:val="00F15CC2"/>
    <w:rsid w:val="00F21015"/>
    <w:rsid w:val="00F23247"/>
    <w:rsid w:val="00F25FDF"/>
    <w:rsid w:val="00F31C10"/>
    <w:rsid w:val="00F34E8D"/>
    <w:rsid w:val="00F34FCC"/>
    <w:rsid w:val="00F35D13"/>
    <w:rsid w:val="00F3743F"/>
    <w:rsid w:val="00F40604"/>
    <w:rsid w:val="00F43EE1"/>
    <w:rsid w:val="00F45537"/>
    <w:rsid w:val="00F4699D"/>
    <w:rsid w:val="00F565F5"/>
    <w:rsid w:val="00F568A0"/>
    <w:rsid w:val="00F5739D"/>
    <w:rsid w:val="00F61D24"/>
    <w:rsid w:val="00F64EB3"/>
    <w:rsid w:val="00F7514D"/>
    <w:rsid w:val="00F75B13"/>
    <w:rsid w:val="00F77166"/>
    <w:rsid w:val="00F80D68"/>
    <w:rsid w:val="00F81899"/>
    <w:rsid w:val="00F834EE"/>
    <w:rsid w:val="00F83838"/>
    <w:rsid w:val="00F84436"/>
    <w:rsid w:val="00F844A2"/>
    <w:rsid w:val="00F93948"/>
    <w:rsid w:val="00F9506F"/>
    <w:rsid w:val="00F97EFA"/>
    <w:rsid w:val="00FA4E35"/>
    <w:rsid w:val="00FA57EC"/>
    <w:rsid w:val="00FA66FB"/>
    <w:rsid w:val="00FA70B9"/>
    <w:rsid w:val="00FB23BF"/>
    <w:rsid w:val="00FB7847"/>
    <w:rsid w:val="00FC078B"/>
    <w:rsid w:val="00FC4375"/>
    <w:rsid w:val="00FD186F"/>
    <w:rsid w:val="00FD3824"/>
    <w:rsid w:val="00FD3EEA"/>
    <w:rsid w:val="00FD3FD4"/>
    <w:rsid w:val="00FD48DB"/>
    <w:rsid w:val="00FD5EFE"/>
    <w:rsid w:val="00FD7F28"/>
    <w:rsid w:val="00FE08E7"/>
    <w:rsid w:val="00FE1B2E"/>
    <w:rsid w:val="00FE1C51"/>
    <w:rsid w:val="00FE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0B5DC6"/>
  <w15:docId w15:val="{511E3835-AC04-4F0C-B9E5-40275134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AF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h1,Para1,Top 1,ParaLevel1,Level 1 Para,Level 1 Para1,Level 1 Para2,Level 1 Para3,Level 1 Para4,Level 1 Para11,Level 1 Para21,Level 1 Para31,Level 1 Para5,Level 1 Para12,Level 1 Para22,Level 1 Para32,Level 1 Para6,Level 1 Para13,Level 1 Para23"/>
    <w:basedOn w:val="Normal"/>
    <w:next w:val="Normal"/>
    <w:link w:val="Heading1Char"/>
    <w:qFormat/>
    <w:rsid w:val="00006AF2"/>
    <w:pPr>
      <w:keepNext/>
      <w:numPr>
        <w:numId w:val="2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Para2,Head hdbk,Top 2,H2,h2 main heading,B Sub/Bold,B Sub/Bold1,B Sub/Bold2,B Sub/Bold11,h2 main heading1,h2 main heading2,B Sub/Bold3,B Sub/Bold12,h2 main heading3,B Sub/Bold4,B Sub/Bold13,SubPara,2 headline,h,sub,Para 2,a.,a.1,a.2,body,1"/>
    <w:basedOn w:val="Normal"/>
    <w:next w:val="Normal"/>
    <w:link w:val="Heading2Char"/>
    <w:unhideWhenUsed/>
    <w:qFormat/>
    <w:rsid w:val="00006AF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uiPriority w:val="9"/>
    <w:qFormat/>
    <w:rsid w:val="008401AD"/>
    <w:pPr>
      <w:keepNext/>
      <w:keepLines/>
      <w:numPr>
        <w:ilvl w:val="2"/>
        <w:numId w:val="10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eadhbk,(a),h4"/>
    <w:basedOn w:val="Normal"/>
    <w:next w:val="Normal"/>
    <w:uiPriority w:val="9"/>
    <w:qFormat/>
    <w:rsid w:val="008401AD"/>
    <w:pPr>
      <w:keepNext/>
      <w:keepLines/>
      <w:numPr>
        <w:ilvl w:val="3"/>
        <w:numId w:val="10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i.,H,subsubpara,1.1.1.1.1"/>
    <w:basedOn w:val="Normal"/>
    <w:next w:val="Normal"/>
    <w:qFormat/>
    <w:rsid w:val="008401AD"/>
    <w:pPr>
      <w:numPr>
        <w:ilvl w:val="4"/>
        <w:numId w:val="10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qFormat/>
    <w:rsid w:val="008401AD"/>
    <w:pPr>
      <w:numPr>
        <w:ilvl w:val="5"/>
        <w:numId w:val="10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,h7,H7,Legal Level 1.1.,7,Heading 7 Char,Response Alpha,Response Numeral,Heading 7 Char1 Char1,Heading 7 Char Char Char1,Heading 7 Char1 Char1 Char Char Char1,Heading 7 Char Char Char1 Char Char Char1"/>
    <w:basedOn w:val="Normal"/>
    <w:next w:val="Normal"/>
    <w:qFormat/>
    <w:rsid w:val="008401AD"/>
    <w:pPr>
      <w:numPr>
        <w:ilvl w:val="6"/>
        <w:numId w:val="10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qFormat/>
    <w:rsid w:val="008401AD"/>
    <w:pPr>
      <w:numPr>
        <w:ilvl w:val="7"/>
        <w:numId w:val="10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qFormat/>
    <w:rsid w:val="008401AD"/>
    <w:pPr>
      <w:numPr>
        <w:ilvl w:val="8"/>
        <w:numId w:val="10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006A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06AF2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sid w:val="00905DF0"/>
    <w:rPr>
      <w:sz w:val="16"/>
    </w:rPr>
  </w:style>
  <w:style w:type="paragraph" w:styleId="BalloonText">
    <w:name w:val="Balloon Text"/>
    <w:basedOn w:val="Normal"/>
    <w:autoRedefine/>
    <w:rsid w:val="00393D05"/>
    <w:rPr>
      <w:rFonts w:ascii="Times New Roman" w:hAnsi="Times New Roman"/>
      <w:sz w:val="24"/>
      <w:szCs w:val="20"/>
    </w:rPr>
  </w:style>
  <w:style w:type="paragraph" w:styleId="CommentSubject">
    <w:name w:val="annotation subject"/>
    <w:basedOn w:val="CommentText"/>
    <w:next w:val="CommentText"/>
    <w:semiHidden/>
    <w:rsid w:val="003F6E8C"/>
    <w:rPr>
      <w:b/>
      <w:bCs/>
    </w:rPr>
  </w:style>
  <w:style w:type="table" w:styleId="TableGrid">
    <w:name w:val="Table Grid"/>
    <w:basedOn w:val="TableNormal"/>
    <w:uiPriority w:val="59"/>
    <w:rsid w:val="008401A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006AF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006AF2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8401AD"/>
  </w:style>
  <w:style w:type="paragraph" w:customStyle="1" w:styleId="Style1">
    <w:name w:val="Style1"/>
    <w:basedOn w:val="Heading4"/>
    <w:rsid w:val="008401AD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8401AD"/>
    <w:rPr>
      <w:szCs w:val="20"/>
    </w:rPr>
  </w:style>
  <w:style w:type="paragraph" w:styleId="Header">
    <w:name w:val="header"/>
    <w:basedOn w:val="Normal"/>
    <w:rsid w:val="0006100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06100D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006AF2"/>
    <w:pPr>
      <w:keepNext/>
      <w:keepLines/>
      <w:numPr>
        <w:ilvl w:val="1"/>
        <w:numId w:val="1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06AF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06AF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06AF2"/>
    <w:pPr>
      <w:numPr>
        <w:ilvl w:val="2"/>
        <w:numId w:val="16"/>
      </w:numPr>
    </w:pPr>
  </w:style>
  <w:style w:type="paragraph" w:customStyle="1" w:styleId="COTCOCLV1-ASDEFCON">
    <w:name w:val="COT/COC LV1 - ASDEFCON"/>
    <w:basedOn w:val="ASDEFCONNormal"/>
    <w:next w:val="COTCOCLV2-ASDEFCON"/>
    <w:rsid w:val="00006AF2"/>
    <w:pPr>
      <w:keepNext/>
      <w:keepLines/>
      <w:numPr>
        <w:numId w:val="1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06AF2"/>
    <w:pPr>
      <w:numPr>
        <w:ilvl w:val="3"/>
        <w:numId w:val="16"/>
      </w:numPr>
    </w:pPr>
  </w:style>
  <w:style w:type="paragraph" w:customStyle="1" w:styleId="COTCOCLV5-ASDEFCON">
    <w:name w:val="COT/COC LV5 - ASDEFCON"/>
    <w:basedOn w:val="ASDEFCONNormal"/>
    <w:rsid w:val="00006AF2"/>
    <w:pPr>
      <w:numPr>
        <w:ilvl w:val="4"/>
        <w:numId w:val="16"/>
      </w:numPr>
    </w:pPr>
  </w:style>
  <w:style w:type="paragraph" w:customStyle="1" w:styleId="COTCOCLV6-ASDEFCON">
    <w:name w:val="COT/COC LV6 - ASDEFCON"/>
    <w:basedOn w:val="ASDEFCONNormal"/>
    <w:rsid w:val="00006AF2"/>
    <w:pPr>
      <w:keepLines/>
      <w:numPr>
        <w:ilvl w:val="5"/>
        <w:numId w:val="16"/>
      </w:numPr>
    </w:pPr>
  </w:style>
  <w:style w:type="paragraph" w:customStyle="1" w:styleId="ASDEFCONOption">
    <w:name w:val="ASDEFCON Option"/>
    <w:basedOn w:val="ASDEFCONNormal"/>
    <w:rsid w:val="00006AF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06AF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06AF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006AF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06AF2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06AF2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06AF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06AF2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06AF2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006AF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06AF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06AF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06AF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06AF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06AF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06AF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06AF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06AF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06AF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06AF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06AF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06AF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06AF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06AF2"/>
    <w:pPr>
      <w:numPr>
        <w:numId w:val="1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06AF2"/>
    <w:pPr>
      <w:numPr>
        <w:numId w:val="1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06AF2"/>
    <w:pPr>
      <w:numPr>
        <w:numId w:val="1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06AF2"/>
    <w:pPr>
      <w:numPr>
        <w:numId w:val="2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06AF2"/>
    <w:pPr>
      <w:keepNext/>
      <w:numPr>
        <w:numId w:val="9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06AF2"/>
    <w:pPr>
      <w:keepNext/>
      <w:numPr>
        <w:ilvl w:val="1"/>
        <w:numId w:val="9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06AF2"/>
    <w:pPr>
      <w:keepNext/>
      <w:numPr>
        <w:ilvl w:val="2"/>
        <w:numId w:val="9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06AF2"/>
    <w:pPr>
      <w:keepNext/>
      <w:numPr>
        <w:ilvl w:val="3"/>
        <w:numId w:val="9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06AF2"/>
    <w:pPr>
      <w:keepNext/>
      <w:numPr>
        <w:ilvl w:val="4"/>
        <w:numId w:val="9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06AF2"/>
    <w:pPr>
      <w:numPr>
        <w:ilvl w:val="5"/>
        <w:numId w:val="9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06AF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06AF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06AF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06AF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06AF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06AF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06AF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06AF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06AF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06AF2"/>
    <w:pPr>
      <w:numPr>
        <w:ilvl w:val="6"/>
        <w:numId w:val="9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06AF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06AF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06AF2"/>
    <w:rPr>
      <w:szCs w:val="20"/>
    </w:rPr>
  </w:style>
  <w:style w:type="paragraph" w:customStyle="1" w:styleId="ASDEFCONTextBlock">
    <w:name w:val="ASDEFCON TextBlock"/>
    <w:basedOn w:val="ASDEFCONNormal"/>
    <w:qFormat/>
    <w:rsid w:val="00006AF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06AF2"/>
    <w:pPr>
      <w:numPr>
        <w:numId w:val="22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006AF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06AF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06AF2"/>
    <w:pPr>
      <w:numPr>
        <w:numId w:val="3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06AF2"/>
    <w:pPr>
      <w:numPr>
        <w:numId w:val="3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06AF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06AF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06AF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link w:val="Table10ptHeading-ASDEFCONChar"/>
    <w:rsid w:val="00006AF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06AF2"/>
    <w:pPr>
      <w:numPr>
        <w:numId w:val="23"/>
      </w:numPr>
    </w:pPr>
  </w:style>
  <w:style w:type="paragraph" w:customStyle="1" w:styleId="Table8ptBP2-ASDEFCON">
    <w:name w:val="Table 8pt BP2 - ASDEFCON"/>
    <w:basedOn w:val="Table8ptText-ASDEFCON"/>
    <w:rsid w:val="00006AF2"/>
    <w:pPr>
      <w:numPr>
        <w:ilvl w:val="1"/>
        <w:numId w:val="2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06AF2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06AF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06AF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06AF2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006AF2"/>
    <w:pPr>
      <w:numPr>
        <w:numId w:val="2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06AF2"/>
    <w:pPr>
      <w:numPr>
        <w:ilvl w:val="1"/>
        <w:numId w:val="2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06AF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06AF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06AF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06AF2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06AF2"/>
    <w:pPr>
      <w:numPr>
        <w:ilvl w:val="6"/>
        <w:numId w:val="24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06AF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06AF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06AF2"/>
    <w:pPr>
      <w:numPr>
        <w:numId w:val="3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06AF2"/>
    <w:pPr>
      <w:numPr>
        <w:numId w:val="26"/>
      </w:numPr>
    </w:pPr>
  </w:style>
  <w:style w:type="character" w:customStyle="1" w:styleId="ASDEFCONRecitalsCharChar">
    <w:name w:val="ASDEFCON Recitals Char Char"/>
    <w:link w:val="ASDEFCONRecitals"/>
    <w:rsid w:val="00006AF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06AF2"/>
    <w:pPr>
      <w:numPr>
        <w:numId w:val="2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06AF2"/>
    <w:pPr>
      <w:numPr>
        <w:numId w:val="28"/>
      </w:numPr>
    </w:pPr>
    <w:rPr>
      <w:b/>
      <w:i/>
    </w:rPr>
  </w:style>
  <w:style w:type="paragraph" w:styleId="Caption">
    <w:name w:val="caption"/>
    <w:basedOn w:val="Normal"/>
    <w:next w:val="Normal"/>
    <w:qFormat/>
    <w:rsid w:val="00006AF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06AF2"/>
    <w:pPr>
      <w:numPr>
        <w:numId w:val="3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06AF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06AF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06AF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06AF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06AF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06AF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06AF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06AF2"/>
    <w:pPr>
      <w:numPr>
        <w:ilvl w:val="1"/>
        <w:numId w:val="33"/>
      </w:numPr>
    </w:pPr>
  </w:style>
  <w:style w:type="paragraph" w:styleId="TOC3">
    <w:name w:val="toc 3"/>
    <w:basedOn w:val="Normal"/>
    <w:next w:val="Normal"/>
    <w:autoRedefine/>
    <w:rsid w:val="00006AF2"/>
    <w:pPr>
      <w:spacing w:after="100"/>
      <w:ind w:left="400"/>
    </w:pPr>
  </w:style>
  <w:style w:type="character" w:styleId="PageNumber">
    <w:name w:val="page number"/>
    <w:basedOn w:val="DefaultParagraphFont"/>
    <w:rsid w:val="00EA78E7"/>
  </w:style>
  <w:style w:type="character" w:customStyle="1" w:styleId="FooterChar">
    <w:name w:val="Footer Char"/>
    <w:link w:val="Footer"/>
    <w:semiHidden/>
    <w:locked/>
    <w:rsid w:val="0051267D"/>
    <w:rPr>
      <w:rFonts w:ascii="Arial" w:hAnsi="Arial"/>
      <w:szCs w:val="24"/>
      <w:lang w:val="en-AU" w:eastAsia="en-AU" w:bidi="ar-SA"/>
    </w:rPr>
  </w:style>
  <w:style w:type="character" w:customStyle="1" w:styleId="Heading2Char">
    <w:name w:val="Heading 2 Char"/>
    <w:aliases w:val="h2 Char,Para2 Char,Head hdbk Char,Top 2 Char,H2 Char,h2 main heading Char,B Sub/Bold Char,B Sub/Bold1 Char,B Sub/Bold2 Char,B Sub/Bold11 Char,h2 main heading1 Char,h2 main heading2 Char,B Sub/Bold3 Char,B Sub/Bold12 Char,B Sub/Bold4 Char"/>
    <w:link w:val="Heading2"/>
    <w:rsid w:val="00006AF2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006AF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006AF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06AF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06AF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06AF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06AF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06AF2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006AF2"/>
    <w:pPr>
      <w:numPr>
        <w:numId w:val="3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02AA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Revision">
    <w:name w:val="Revision"/>
    <w:hidden/>
    <w:uiPriority w:val="99"/>
    <w:semiHidden/>
    <w:rsid w:val="001E32AE"/>
    <w:rPr>
      <w:rFonts w:ascii="Arial" w:hAnsi="Arial"/>
      <w:szCs w:val="24"/>
    </w:rPr>
  </w:style>
  <w:style w:type="character" w:customStyle="1" w:styleId="Heading1Char">
    <w:name w:val="Heading 1 Char"/>
    <w:aliases w:val="h1 Char,Para1 Char,Top 1 Char,ParaLevel1 Char,Level 1 Para Char,Level 1 Para1 Char,Level 1 Para2 Char,Level 1 Para3 Char,Level 1 Para4 Char,Level 1 Para11 Char,Level 1 Para21 Char,Level 1 Para31 Char,Level 1 Para5 Char,Level 1 Para12 Char"/>
    <w:link w:val="Heading1"/>
    <w:locked/>
    <w:rsid w:val="009630F4"/>
    <w:rPr>
      <w:rFonts w:ascii="Arial" w:hAnsi="Arial" w:cs="Arial"/>
      <w:b/>
      <w:bCs/>
      <w:kern w:val="32"/>
      <w:sz w:val="32"/>
      <w:szCs w:val="32"/>
    </w:rPr>
  </w:style>
  <w:style w:type="character" w:customStyle="1" w:styleId="CommentTextChar">
    <w:name w:val="Comment Text Char"/>
    <w:link w:val="CommentText"/>
    <w:semiHidden/>
    <w:rsid w:val="00905DF0"/>
    <w:rPr>
      <w:rFonts w:ascii="Arial" w:hAnsi="Arial"/>
      <w:sz w:val="16"/>
      <w:szCs w:val="24"/>
    </w:rPr>
  </w:style>
  <w:style w:type="character" w:customStyle="1" w:styleId="Table10ptHeading-ASDEFCONChar">
    <w:name w:val="Table 10pt Heading - ASDEFCON Char"/>
    <w:link w:val="Table10ptHeading-ASDEFCON"/>
    <w:rsid w:val="002B2F22"/>
    <w:rPr>
      <w:rFonts w:ascii="Arial" w:hAnsi="Arial"/>
      <w:b/>
      <w:color w:val="000000"/>
      <w:szCs w:val="40"/>
    </w:rPr>
  </w:style>
  <w:style w:type="table" w:customStyle="1" w:styleId="TableGrid1">
    <w:name w:val="Table Grid1"/>
    <w:basedOn w:val="TableNormal"/>
    <w:next w:val="TableGrid"/>
    <w:uiPriority w:val="59"/>
    <w:rsid w:val="002B2F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837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fence.gov.au/sites/default/files/2021-09/Australian-Contract-Expenditure-Guide-for-ASDEFCO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.bradley1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F81E5-9789-40CB-B165-3D406A11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1760</TotalTime>
  <Pages>7</Pages>
  <Words>3521</Words>
  <Characters>20070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and Payments</vt:lpstr>
    </vt:vector>
  </TitlesOfParts>
  <Manager>CASG</Manager>
  <Company>Department of Defence</Company>
  <LinksUpToDate>false</LinksUpToDate>
  <CharactersWithSpaces>23544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and Payments</dc:title>
  <dc:subject>ASDEFCON (Complex Materiel) Volume 2</dc:subject>
  <dc:creator>CPPD</dc:creator>
  <cp:keywords>Price Schedule, Attachment B, price and payments, milestones</cp:keywords>
  <cp:lastModifiedBy>Ben Bradley</cp:lastModifiedBy>
  <cp:revision>72</cp:revision>
  <cp:lastPrinted>2019-07-03T04:25:00Z</cp:lastPrinted>
  <dcterms:created xsi:type="dcterms:W3CDTF">2021-06-28T04:46:00Z</dcterms:created>
  <dcterms:modified xsi:type="dcterms:W3CDTF">2024-08-19T23:44:00Z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BM54785110</vt:lpwstr>
  </property>
  <property fmtid="{D5CDD505-2E9C-101B-9397-08002B2CF9AE}" pid="4" name="Objective-Title">
    <vt:lpwstr>009_CMV2_V5.2_CATTB_Price And Payments</vt:lpwstr>
  </property>
  <property fmtid="{D5CDD505-2E9C-101B-9397-08002B2CF9AE}" pid="5" name="Objective-Comment">
    <vt:lpwstr/>
  </property>
  <property fmtid="{D5CDD505-2E9C-101B-9397-08002B2CF9AE}" pid="6" name="Objective-CreationStamp">
    <vt:filetime>2022-12-19T06:22:48Z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2024-07-30T02:00:18Z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Draft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0.3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