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5F84DA8" w14:textId="77777777" w:rsidR="00F27F2D" w:rsidRPr="005A1253" w:rsidRDefault="00F27F2D" w:rsidP="00C07D90">
      <w:pPr>
        <w:pStyle w:val="ASDEFCONTitle"/>
      </w:pPr>
      <w:bookmarkStart w:id="0" w:name="_Toc531857834"/>
      <w:r w:rsidRPr="005A1253">
        <w:t>COMMERCIAL (CORE)</w:t>
      </w:r>
      <w:bookmarkEnd w:id="0"/>
    </w:p>
    <w:p w14:paraId="41C7F348" w14:textId="77777777" w:rsidR="00F27F2D" w:rsidRPr="005A1253" w:rsidRDefault="00F27F2D" w:rsidP="00C07D90">
      <w:pPr>
        <w:pStyle w:val="ATTANNLV1-ASDEFCON"/>
      </w:pPr>
      <w:bookmarkStart w:id="1" w:name="_Toc531857835"/>
      <w:r w:rsidRPr="005A1253">
        <w:t>IMPORTATION OF SERVICES AND EXPORT APPROVALS (Core)</w:t>
      </w:r>
      <w:bookmarkEnd w:id="1"/>
    </w:p>
    <w:p w14:paraId="2ECCF569" w14:textId="68F694E1" w:rsidR="00D421D8" w:rsidRPr="005A1253" w:rsidRDefault="00D421D8" w:rsidP="00D421D8">
      <w:pPr>
        <w:pStyle w:val="Clause"/>
        <w:rPr>
          <w:rFonts w:cs="Arial"/>
        </w:rPr>
      </w:pPr>
      <w:r w:rsidRPr="005A1253">
        <w:rPr>
          <w:rFonts w:cs="Arial"/>
        </w:rPr>
        <w:t>Draft COC reference: clause</w:t>
      </w:r>
      <w:r w:rsidR="00E85698" w:rsidRPr="005A1253">
        <w:rPr>
          <w:rFonts w:cs="Arial"/>
        </w:rPr>
        <w:t>s</w:t>
      </w:r>
      <w:r w:rsidR="00A336CF" w:rsidRPr="005A1253">
        <w:rPr>
          <w:rFonts w:cs="Arial"/>
        </w:rPr>
        <w:t xml:space="preserve"> 3.</w:t>
      </w:r>
      <w:r w:rsidR="00B510C2">
        <w:rPr>
          <w:rFonts w:cs="Arial"/>
        </w:rPr>
        <w:t>4</w:t>
      </w:r>
      <w:r w:rsidR="00A336CF" w:rsidRPr="005A1253">
        <w:rPr>
          <w:rFonts w:cs="Arial"/>
        </w:rPr>
        <w:t xml:space="preserve"> and</w:t>
      </w:r>
      <w:r w:rsidRPr="005A1253">
        <w:rPr>
          <w:rFonts w:cs="Arial"/>
        </w:rPr>
        <w:t xml:space="preserve"> </w:t>
      </w:r>
      <w:r w:rsidR="00BC50C0" w:rsidRPr="005A1253">
        <w:rPr>
          <w:rFonts w:cs="Arial"/>
        </w:rPr>
        <w:t>3.</w:t>
      </w:r>
      <w:r w:rsidR="00B510C2">
        <w:rPr>
          <w:rFonts w:cs="Arial"/>
        </w:rPr>
        <w:t>5</w:t>
      </w:r>
    </w:p>
    <w:p w14:paraId="07EF9856" w14:textId="1B7E490F" w:rsidR="003A6F51" w:rsidRPr="005A1253" w:rsidRDefault="003A6F51" w:rsidP="00FC6F96">
      <w:pPr>
        <w:pStyle w:val="NoteToTenderers-ASDEFCON"/>
      </w:pPr>
      <w:r w:rsidRPr="005A1253">
        <w:t xml:space="preserve">Note to tenderers:  Tenderers </w:t>
      </w:r>
      <w:r w:rsidR="00305202">
        <w:t>must</w:t>
      </w:r>
      <w:r w:rsidRPr="005A1253">
        <w:t xml:space="preserve"> inform themselves of the export control status of the tendered Services and compl</w:t>
      </w:r>
      <w:r w:rsidR="00305202">
        <w:t>y</w:t>
      </w:r>
      <w:r w:rsidRPr="005A1253">
        <w:t xml:space="preserve"> with Australian and Foreign Government controls related to the export of defence and dual-use goods, including if the export is from an Australian </w:t>
      </w:r>
      <w:r w:rsidR="00A37453" w:rsidRPr="005A1253">
        <w:t xml:space="preserve">contractor </w:t>
      </w:r>
      <w:r w:rsidRPr="005A1253">
        <w:t xml:space="preserve">to an overseas </w:t>
      </w:r>
      <w:r w:rsidR="00A37453" w:rsidRPr="005A1253">
        <w:t xml:space="preserve">subcontractor </w:t>
      </w:r>
      <w:r w:rsidRPr="005A1253">
        <w:t>or Related Body Corporate</w:t>
      </w:r>
      <w:r w:rsidR="00257D68">
        <w:t>,</w:t>
      </w:r>
      <w:r w:rsidRPr="005A1253">
        <w:t xml:space="preserve"> for the purposes of </w:t>
      </w:r>
      <w:r w:rsidR="00A37453">
        <w:t>a</w:t>
      </w:r>
      <w:r w:rsidRPr="005A1253">
        <w:t xml:space="preserve"> </w:t>
      </w:r>
      <w:r w:rsidR="00A37453">
        <w:t>contract</w:t>
      </w:r>
      <w:r w:rsidRPr="005A1253">
        <w:t>.</w:t>
      </w:r>
    </w:p>
    <w:p w14:paraId="3345DAB7" w14:textId="4280BD87" w:rsidR="006B5215" w:rsidRDefault="00305202" w:rsidP="00B13D92">
      <w:pPr>
        <w:pStyle w:val="NoteToTenderers-ASDEFCON"/>
        <w:rPr>
          <w:rFonts w:cs="Arial"/>
          <w:color w:val="0000FF"/>
        </w:rPr>
      </w:pPr>
      <w:r>
        <w:rPr>
          <w:rFonts w:cs="Arial"/>
        </w:rPr>
        <w:t>A</w:t>
      </w:r>
      <w:r w:rsidR="003A6F51" w:rsidRPr="005A1253">
        <w:rPr>
          <w:rFonts w:cs="Arial"/>
        </w:rPr>
        <w:t xml:space="preserve">dvice on the control status of goods and services </w:t>
      </w:r>
      <w:proofErr w:type="gramStart"/>
      <w:r>
        <w:rPr>
          <w:rFonts w:cs="Arial"/>
        </w:rPr>
        <w:t>can be requested</w:t>
      </w:r>
      <w:proofErr w:type="gramEnd"/>
      <w:r>
        <w:rPr>
          <w:rFonts w:cs="Arial"/>
        </w:rPr>
        <w:t xml:space="preserve"> by emailing</w:t>
      </w:r>
      <w:r w:rsidR="003A6F51" w:rsidRPr="005A1253">
        <w:rPr>
          <w:rFonts w:cs="Arial"/>
        </w:rPr>
        <w:t xml:space="preserve"> Defence Export Control</w:t>
      </w:r>
      <w:r w:rsidR="002D731A">
        <w:rPr>
          <w:rFonts w:cs="Arial"/>
        </w:rPr>
        <w:t>s</w:t>
      </w:r>
      <w:r w:rsidR="003A6F51" w:rsidRPr="005A1253">
        <w:rPr>
          <w:rFonts w:cs="Arial"/>
        </w:rPr>
        <w:t xml:space="preserve"> at </w:t>
      </w:r>
      <w:hyperlink r:id="rId8" w:history="1">
        <w:r w:rsidR="002D731A">
          <w:rPr>
            <w:rStyle w:val="Hyperlink"/>
            <w:rFonts w:cs="Arial"/>
          </w:rPr>
          <w:t>ExportControls@defence.gov.au</w:t>
        </w:r>
      </w:hyperlink>
      <w:r w:rsidR="00E73AAC" w:rsidRPr="005A1253">
        <w:rPr>
          <w:rFonts w:cs="Arial"/>
        </w:rPr>
        <w:t xml:space="preserve">.  </w:t>
      </w:r>
      <w:r w:rsidR="003A6F51" w:rsidRPr="005A1253">
        <w:rPr>
          <w:rFonts w:cs="Arial"/>
        </w:rPr>
        <w:t xml:space="preserve">Further information </w:t>
      </w:r>
      <w:proofErr w:type="gramStart"/>
      <w:r w:rsidR="003A6F51" w:rsidRPr="005A1253">
        <w:rPr>
          <w:rFonts w:cs="Arial"/>
        </w:rPr>
        <w:t>may be found</w:t>
      </w:r>
      <w:proofErr w:type="gramEnd"/>
      <w:r w:rsidR="003A6F51" w:rsidRPr="005A1253">
        <w:rPr>
          <w:rFonts w:cs="Arial"/>
        </w:rPr>
        <w:t xml:space="preserve"> at</w:t>
      </w:r>
      <w:r w:rsidR="002D731A">
        <w:rPr>
          <w:rFonts w:cs="Arial"/>
        </w:rPr>
        <w:t>:</w:t>
      </w:r>
    </w:p>
    <w:p w14:paraId="0DB3D0E5" w14:textId="5FF3CE97" w:rsidR="003A6F51" w:rsidRPr="00732F04" w:rsidRDefault="00F135C9" w:rsidP="00D8395A">
      <w:pPr>
        <w:pStyle w:val="NoteToTenderersBullets-ASDEFCON"/>
        <w:rPr>
          <w:color w:val="auto"/>
        </w:rPr>
      </w:pPr>
      <w:hyperlink r:id="rId9" w:tooltip="http://www.defence.gov.au/strategy/deco/default.htm" w:history="1">
        <w:r w:rsidR="00D96C15">
          <w:rPr>
            <w:rStyle w:val="Hyperlink"/>
            <w:rFonts w:cs="Arial"/>
          </w:rPr>
          <w:t>https://www.defence.gov.au/business-industry/export/controls</w:t>
        </w:r>
      </w:hyperlink>
      <w:r w:rsidR="003A6F51" w:rsidRPr="00732F04">
        <w:rPr>
          <w:rFonts w:cs="Arial"/>
          <w:color w:val="auto"/>
        </w:rPr>
        <w:t>.</w:t>
      </w:r>
    </w:p>
    <w:p w14:paraId="466196C4" w14:textId="77777777" w:rsidR="00F27F2D" w:rsidRPr="005A1253" w:rsidRDefault="00F27F2D" w:rsidP="00C07D90">
      <w:pPr>
        <w:pStyle w:val="ATTANNLV2-ASDEFCON"/>
      </w:pPr>
      <w:r w:rsidRPr="005A1253">
        <w:t xml:space="preserve">Tenderers proposing to import parts of the Services </w:t>
      </w:r>
      <w:r w:rsidR="006A1903" w:rsidRPr="005A1253">
        <w:t>are to</w:t>
      </w:r>
      <w:r w:rsidRPr="005A1253">
        <w:t xml:space="preserve"> provide:</w:t>
      </w:r>
    </w:p>
    <w:p w14:paraId="28E1B22C" w14:textId="77777777" w:rsidR="00F27F2D" w:rsidRPr="005A1253" w:rsidRDefault="00F27F2D" w:rsidP="00C07D90">
      <w:pPr>
        <w:pStyle w:val="ATTANNLV3-ASDEFCON"/>
      </w:pPr>
      <w:r w:rsidRPr="005A1253">
        <w:t>an indication of what is being imported;</w:t>
      </w:r>
    </w:p>
    <w:p w14:paraId="757D1B12" w14:textId="77777777" w:rsidR="00F27F2D" w:rsidRPr="005A1253" w:rsidRDefault="00F27F2D" w:rsidP="00B13D92">
      <w:pPr>
        <w:pStyle w:val="ATTANNLV3-ASDEFCON"/>
        <w:rPr>
          <w:rFonts w:cs="Arial"/>
        </w:rPr>
      </w:pPr>
      <w:r w:rsidRPr="005A1253">
        <w:rPr>
          <w:rFonts w:cs="Arial"/>
        </w:rPr>
        <w:t xml:space="preserve">evidence from the Government of the country of origin that the tenderer will be granted an </w:t>
      </w:r>
      <w:r w:rsidR="00441EE7" w:rsidRPr="005A1253">
        <w:rPr>
          <w:rFonts w:cs="Arial"/>
        </w:rPr>
        <w:t>E</w:t>
      </w:r>
      <w:r w:rsidRPr="005A1253">
        <w:rPr>
          <w:rFonts w:cs="Arial"/>
        </w:rPr>
        <w:t xml:space="preserve">xport </w:t>
      </w:r>
      <w:r w:rsidR="00441EE7" w:rsidRPr="005A1253">
        <w:rPr>
          <w:rFonts w:cs="Arial"/>
        </w:rPr>
        <w:t>A</w:t>
      </w:r>
      <w:r w:rsidRPr="005A1253">
        <w:rPr>
          <w:rFonts w:cs="Arial"/>
        </w:rPr>
        <w:t xml:space="preserve">pproval for those items if the tenderer is awarded any resultant </w:t>
      </w:r>
      <w:r w:rsidR="00336BFC" w:rsidRPr="005A1253">
        <w:rPr>
          <w:rFonts w:cs="Arial"/>
        </w:rPr>
        <w:t>C</w:t>
      </w:r>
      <w:r w:rsidRPr="005A1253">
        <w:rPr>
          <w:rFonts w:cs="Arial"/>
        </w:rPr>
        <w:t>ontract;</w:t>
      </w:r>
    </w:p>
    <w:p w14:paraId="5B84809E" w14:textId="06827215" w:rsidR="00F27F2D" w:rsidRPr="005A1253" w:rsidRDefault="00F27F2D" w:rsidP="00B13D92">
      <w:pPr>
        <w:pStyle w:val="ATTANNLV3-ASDEFCON"/>
        <w:rPr>
          <w:rFonts w:cs="Arial"/>
        </w:rPr>
      </w:pPr>
      <w:r w:rsidRPr="005A1253">
        <w:rPr>
          <w:rFonts w:cs="Arial"/>
        </w:rPr>
        <w:t xml:space="preserve">identification of any specific limitations or provisos that the Government of the country of origin could reasonably be expected to place on the </w:t>
      </w:r>
      <w:r w:rsidR="00441EE7" w:rsidRPr="005A1253">
        <w:rPr>
          <w:rFonts w:cs="Arial"/>
        </w:rPr>
        <w:t>E</w:t>
      </w:r>
      <w:r w:rsidRPr="005A1253">
        <w:rPr>
          <w:rFonts w:cs="Arial"/>
        </w:rPr>
        <w:t xml:space="preserve">xport </w:t>
      </w:r>
      <w:r w:rsidR="00441EE7" w:rsidRPr="005A1253">
        <w:rPr>
          <w:rFonts w:cs="Arial"/>
        </w:rPr>
        <w:t>A</w:t>
      </w:r>
      <w:r w:rsidRPr="005A1253">
        <w:rPr>
          <w:rFonts w:cs="Arial"/>
        </w:rPr>
        <w:t>pproval with respect to individual items of tendered Services</w:t>
      </w:r>
      <w:r w:rsidR="00B510C2" w:rsidRPr="00B510C2">
        <w:t xml:space="preserve"> </w:t>
      </w:r>
      <w:r w:rsidR="00B510C2">
        <w:t>including</w:t>
      </w:r>
      <w:r w:rsidR="002E129F">
        <w:t>, as applicable,</w:t>
      </w:r>
      <w:r w:rsidR="00B510C2">
        <w:t xml:space="preserve"> TD and Software</w:t>
      </w:r>
      <w:r w:rsidRPr="005A1253">
        <w:rPr>
          <w:rFonts w:cs="Arial"/>
        </w:rPr>
        <w:t>;</w:t>
      </w:r>
    </w:p>
    <w:p w14:paraId="054709A4" w14:textId="74905186" w:rsidR="00F27F2D" w:rsidRPr="005A1253" w:rsidRDefault="00D01988" w:rsidP="00B13D92">
      <w:pPr>
        <w:pStyle w:val="ATTANNLV3-ASDEFCON"/>
        <w:rPr>
          <w:rFonts w:cs="Arial"/>
        </w:rPr>
      </w:pPr>
      <w:r w:rsidRPr="005A1253">
        <w:rPr>
          <w:rFonts w:cs="Arial"/>
        </w:rPr>
        <w:t xml:space="preserve">details of </w:t>
      </w:r>
      <w:r w:rsidR="00F27F2D" w:rsidRPr="005A1253">
        <w:rPr>
          <w:rFonts w:cs="Arial"/>
        </w:rPr>
        <w:t xml:space="preserve">other approvals required in addition to, or as part of, the grant of </w:t>
      </w:r>
      <w:r w:rsidR="00441EE7" w:rsidRPr="005A1253">
        <w:rPr>
          <w:rFonts w:cs="Arial"/>
        </w:rPr>
        <w:t>E</w:t>
      </w:r>
      <w:r w:rsidR="00F27F2D" w:rsidRPr="005A1253">
        <w:rPr>
          <w:rFonts w:cs="Arial"/>
        </w:rPr>
        <w:t xml:space="preserve">xport </w:t>
      </w:r>
      <w:r w:rsidR="00441EE7" w:rsidRPr="005A1253">
        <w:rPr>
          <w:rFonts w:cs="Arial"/>
        </w:rPr>
        <w:t>A</w:t>
      </w:r>
      <w:r w:rsidR="00F27F2D" w:rsidRPr="005A1253">
        <w:rPr>
          <w:rFonts w:cs="Arial"/>
        </w:rPr>
        <w:t>pprovals (</w:t>
      </w:r>
      <w:proofErr w:type="spellStart"/>
      <w:r w:rsidR="003A37BE" w:rsidRPr="005A1253">
        <w:rPr>
          <w:rFonts w:cs="Arial"/>
        </w:rPr>
        <w:t>eg</w:t>
      </w:r>
      <w:proofErr w:type="spellEnd"/>
      <w:r w:rsidR="00B510C2">
        <w:rPr>
          <w:rFonts w:cs="Arial"/>
        </w:rPr>
        <w:t>,</w:t>
      </w:r>
      <w:r w:rsidR="00F82EFE" w:rsidRPr="005A1253">
        <w:rPr>
          <w:rFonts w:cs="Arial"/>
        </w:rPr>
        <w:t xml:space="preserve"> </w:t>
      </w:r>
      <w:r w:rsidR="00F27F2D" w:rsidRPr="005A1253">
        <w:rPr>
          <w:rFonts w:cs="Arial"/>
        </w:rPr>
        <w:t>technical assistance agreements) and the impact to schedule of gaining such approvals; and</w:t>
      </w:r>
    </w:p>
    <w:p w14:paraId="11497CB2" w14:textId="035E9495" w:rsidR="00F27F2D" w:rsidRPr="005A1253" w:rsidRDefault="00F27F2D" w:rsidP="00B13D92">
      <w:pPr>
        <w:pStyle w:val="ATTANNLV3-ASDEFCON"/>
        <w:rPr>
          <w:rFonts w:cs="Arial"/>
        </w:rPr>
      </w:pPr>
      <w:proofErr w:type="gramStart"/>
      <w:r w:rsidRPr="005A1253">
        <w:rPr>
          <w:rFonts w:cs="Arial"/>
        </w:rPr>
        <w:t>details</w:t>
      </w:r>
      <w:proofErr w:type="gramEnd"/>
      <w:r w:rsidRPr="005A1253">
        <w:rPr>
          <w:rFonts w:cs="Arial"/>
        </w:rPr>
        <w:t xml:space="preserve"> of any rejected application for, or refusal to grant, an </w:t>
      </w:r>
      <w:r w:rsidR="00740175" w:rsidRPr="005A1253">
        <w:rPr>
          <w:rFonts w:cs="Arial"/>
        </w:rPr>
        <w:t>E</w:t>
      </w:r>
      <w:r w:rsidRPr="005A1253">
        <w:rPr>
          <w:rFonts w:cs="Arial"/>
        </w:rPr>
        <w:t xml:space="preserve">xport </w:t>
      </w:r>
      <w:r w:rsidR="00740175" w:rsidRPr="005A1253">
        <w:rPr>
          <w:rFonts w:cs="Arial"/>
        </w:rPr>
        <w:t>A</w:t>
      </w:r>
      <w:r w:rsidRPr="005A1253">
        <w:rPr>
          <w:rFonts w:cs="Arial"/>
        </w:rPr>
        <w:t xml:space="preserve">pproval for </w:t>
      </w:r>
      <w:r w:rsidR="002E129F">
        <w:rPr>
          <w:rFonts w:cs="Arial"/>
        </w:rPr>
        <w:t>goods,</w:t>
      </w:r>
      <w:r w:rsidR="002E129F" w:rsidRPr="005A1253">
        <w:rPr>
          <w:rFonts w:cs="Arial"/>
        </w:rPr>
        <w:t xml:space="preserve"> </w:t>
      </w:r>
      <w:r w:rsidRPr="005A1253">
        <w:rPr>
          <w:rFonts w:cs="Arial"/>
        </w:rPr>
        <w:t>similar to th</w:t>
      </w:r>
      <w:r w:rsidR="002E129F">
        <w:rPr>
          <w:rFonts w:cs="Arial"/>
        </w:rPr>
        <w:t>os</w:t>
      </w:r>
      <w:r w:rsidRPr="005A1253">
        <w:rPr>
          <w:rFonts w:cs="Arial"/>
        </w:rPr>
        <w:t xml:space="preserve">e </w:t>
      </w:r>
      <w:r w:rsidR="005759DC">
        <w:rPr>
          <w:rFonts w:cs="Arial"/>
        </w:rPr>
        <w:t>within</w:t>
      </w:r>
      <w:r w:rsidR="002E129F">
        <w:rPr>
          <w:rFonts w:cs="Arial"/>
        </w:rPr>
        <w:t xml:space="preserve"> the </w:t>
      </w:r>
      <w:r w:rsidRPr="005A1253">
        <w:rPr>
          <w:rFonts w:cs="Arial"/>
        </w:rPr>
        <w:t>Services</w:t>
      </w:r>
      <w:r w:rsidR="002E129F">
        <w:rPr>
          <w:rFonts w:cs="Arial"/>
        </w:rPr>
        <w:t>,</w:t>
      </w:r>
      <w:r w:rsidRPr="005A1253">
        <w:rPr>
          <w:rFonts w:cs="Arial"/>
        </w:rPr>
        <w:t xml:space="preserve"> which </w:t>
      </w:r>
      <w:r w:rsidR="003E71F2">
        <w:rPr>
          <w:rFonts w:cs="Arial"/>
        </w:rPr>
        <w:t>may</w:t>
      </w:r>
      <w:r w:rsidR="003E71F2" w:rsidRPr="005A1253">
        <w:rPr>
          <w:rFonts w:cs="Arial"/>
        </w:rPr>
        <w:t xml:space="preserve"> </w:t>
      </w:r>
      <w:r w:rsidRPr="005A1253">
        <w:rPr>
          <w:rFonts w:cs="Arial"/>
        </w:rPr>
        <w:t>have a bearing on an application to export the Services.</w:t>
      </w:r>
    </w:p>
    <w:p w14:paraId="4B418145" w14:textId="77777777" w:rsidR="00F27F2D" w:rsidRPr="005A1253" w:rsidRDefault="00F27F2D" w:rsidP="00C07D90">
      <w:pPr>
        <w:pStyle w:val="ATTANNLV1-ASDEFCON"/>
      </w:pPr>
      <w:bookmarkStart w:id="2" w:name="_Toc467553672"/>
      <w:bookmarkStart w:id="3" w:name="_Toc531857836"/>
      <w:r w:rsidRPr="005A1253">
        <w:t xml:space="preserve">LIABILITY </w:t>
      </w:r>
      <w:bookmarkEnd w:id="2"/>
      <w:r w:rsidRPr="005A1253">
        <w:t>(Core)</w:t>
      </w:r>
      <w:bookmarkEnd w:id="3"/>
    </w:p>
    <w:p w14:paraId="2B090E48" w14:textId="77777777" w:rsidR="00F111BF" w:rsidRPr="005A1253" w:rsidRDefault="00F111BF" w:rsidP="00D421D8">
      <w:pPr>
        <w:pStyle w:val="Clause"/>
        <w:rPr>
          <w:rFonts w:cs="Arial"/>
        </w:rPr>
      </w:pPr>
      <w:r w:rsidRPr="005A1253">
        <w:rPr>
          <w:rFonts w:cs="Arial"/>
        </w:rPr>
        <w:t xml:space="preserve">Draft </w:t>
      </w:r>
      <w:r w:rsidR="00F4231E" w:rsidRPr="005A1253">
        <w:rPr>
          <w:rFonts w:cs="Arial"/>
        </w:rPr>
        <w:t>COC</w:t>
      </w:r>
      <w:r w:rsidRPr="005A1253">
        <w:rPr>
          <w:rFonts w:cs="Arial"/>
        </w:rPr>
        <w:t xml:space="preserve"> reference: clause </w:t>
      </w:r>
      <w:r w:rsidR="00FF256D" w:rsidRPr="005A1253">
        <w:rPr>
          <w:rFonts w:cs="Arial"/>
        </w:rPr>
        <w:t>10.10</w:t>
      </w:r>
    </w:p>
    <w:p w14:paraId="6C5463F1" w14:textId="5ECADF7D" w:rsidR="00FC6F96" w:rsidRDefault="003E727C" w:rsidP="003E71F2">
      <w:pPr>
        <w:pStyle w:val="NoteToDrafters-ASDEFCON"/>
      </w:pPr>
      <w:r w:rsidRPr="005A1253">
        <w:t xml:space="preserve">Note to drafters:  </w:t>
      </w:r>
      <w:r w:rsidR="003E71F2">
        <w:t xml:space="preserve">Refer to clause 10.10 of the draft COC </w:t>
      </w:r>
      <w:r w:rsidR="009407ED">
        <w:t>for notes on</w:t>
      </w:r>
      <w:r w:rsidR="003E71F2" w:rsidRPr="005A1253">
        <w:t xml:space="preserve"> </w:t>
      </w:r>
      <w:r w:rsidRPr="005A1253">
        <w:t>liability risk assessment</w:t>
      </w:r>
      <w:r w:rsidR="009407ED">
        <w:t>s</w:t>
      </w:r>
      <w:r w:rsidR="00E73AAC" w:rsidRPr="005A1253">
        <w:t>.</w:t>
      </w:r>
    </w:p>
    <w:p w14:paraId="698F75ED" w14:textId="5AA79C15" w:rsidR="006B5215" w:rsidRDefault="003E727C" w:rsidP="003E727C">
      <w:pPr>
        <w:pStyle w:val="NoteToTenderers-ASDEFCON"/>
        <w:rPr>
          <w:rFonts w:cs="Arial"/>
        </w:rPr>
      </w:pPr>
      <w:r w:rsidRPr="005A1253">
        <w:rPr>
          <w:rFonts w:cs="Arial"/>
        </w:rPr>
        <w:t>Note to tenderers:  The liability caps and insurance requirements in clauses 10.10 and 9 respectively of the draft COC</w:t>
      </w:r>
      <w:r w:rsidR="00C45F70">
        <w:rPr>
          <w:rFonts w:cs="Arial"/>
        </w:rPr>
        <w:t xml:space="preserve"> </w:t>
      </w:r>
      <w:proofErr w:type="gramStart"/>
      <w:r w:rsidR="00C45F70">
        <w:rPr>
          <w:rFonts w:cs="Arial"/>
        </w:rPr>
        <w:t>are</w:t>
      </w:r>
      <w:r w:rsidRPr="005A1253">
        <w:rPr>
          <w:rFonts w:cs="Arial"/>
        </w:rPr>
        <w:t xml:space="preserve"> based</w:t>
      </w:r>
      <w:proofErr w:type="gramEnd"/>
      <w:r w:rsidRPr="005A1253">
        <w:rPr>
          <w:rFonts w:cs="Arial"/>
        </w:rPr>
        <w:t xml:space="preserve"> on a liability risk assessment conducted </w:t>
      </w:r>
      <w:r w:rsidR="00C45F70">
        <w:rPr>
          <w:rFonts w:cs="Arial"/>
        </w:rPr>
        <w:t xml:space="preserve">by the Commonwealth </w:t>
      </w:r>
      <w:r w:rsidRPr="005A1253">
        <w:rPr>
          <w:rFonts w:cs="Arial"/>
        </w:rPr>
        <w:t>in accordance with the Defence Liability Principles and the standard Defence methodology described in the Liability Risk Assessment template</w:t>
      </w:r>
      <w:r w:rsidR="00C45F70">
        <w:rPr>
          <w:rFonts w:cs="Arial"/>
        </w:rPr>
        <w:t>;</w:t>
      </w:r>
      <w:r w:rsidRPr="005A1253">
        <w:rPr>
          <w:rFonts w:cs="Arial"/>
        </w:rPr>
        <w:t xml:space="preserve"> both can be accessed at:</w:t>
      </w:r>
    </w:p>
    <w:p w14:paraId="6A26E18E" w14:textId="27495BF0" w:rsidR="00FC6F96" w:rsidRDefault="00F135C9" w:rsidP="000D2314">
      <w:pPr>
        <w:pStyle w:val="NoteToTenderersBullets-ASDEFCON"/>
        <w:rPr>
          <w:rFonts w:cs="Arial"/>
        </w:rPr>
      </w:pPr>
      <w:hyperlink r:id="rId10" w:history="1">
        <w:r w:rsidR="0014584B">
          <w:rPr>
            <w:rStyle w:val="Hyperlink"/>
            <w:rFonts w:cs="Arial"/>
          </w:rPr>
          <w:t>https://www.defence.gov.au/business-industry/procurement/policies-guidelines-templates/procurement-guidance/liability-risk-management</w:t>
        </w:r>
      </w:hyperlink>
      <w:r w:rsidR="003E727C" w:rsidRPr="005A1253">
        <w:rPr>
          <w:rFonts w:cs="Arial"/>
        </w:rPr>
        <w:t>.</w:t>
      </w:r>
    </w:p>
    <w:p w14:paraId="20A38352" w14:textId="7DE38658" w:rsidR="00AB3B33" w:rsidRPr="005A1253" w:rsidRDefault="00AB3B33" w:rsidP="00B13D92">
      <w:pPr>
        <w:pStyle w:val="ATTANNLV2-ASDEFCON"/>
        <w:rPr>
          <w:rFonts w:cs="Arial"/>
        </w:rPr>
      </w:pPr>
      <w:r w:rsidRPr="005A1253">
        <w:rPr>
          <w:rFonts w:cs="Arial"/>
        </w:rPr>
        <w:t xml:space="preserve">If a tenderer proposes to limit its liability on an alternative basis to that set out in clause </w:t>
      </w:r>
      <w:r w:rsidR="00B138FE" w:rsidRPr="005A1253">
        <w:rPr>
          <w:rFonts w:cs="Arial"/>
        </w:rPr>
        <w:t>10.10</w:t>
      </w:r>
      <w:r w:rsidR="003E727C" w:rsidRPr="005A1253">
        <w:rPr>
          <w:rFonts w:cs="Arial"/>
        </w:rPr>
        <w:t xml:space="preserve"> of the draft COC</w:t>
      </w:r>
      <w:r w:rsidRPr="005A1253">
        <w:rPr>
          <w:rFonts w:cs="Arial"/>
        </w:rPr>
        <w:t xml:space="preserve"> </w:t>
      </w:r>
      <w:r w:rsidR="003E727C" w:rsidRPr="005A1253">
        <w:rPr>
          <w:rFonts w:cs="Arial"/>
        </w:rPr>
        <w:t>(</w:t>
      </w:r>
      <w:proofErr w:type="spellStart"/>
      <w:r w:rsidR="003E727C" w:rsidRPr="005A1253">
        <w:rPr>
          <w:rFonts w:cs="Arial"/>
        </w:rPr>
        <w:t>eg</w:t>
      </w:r>
      <w:proofErr w:type="spellEnd"/>
      <w:r w:rsidR="003E727C" w:rsidRPr="005A1253">
        <w:rPr>
          <w:rFonts w:cs="Arial"/>
        </w:rPr>
        <w:t>,</w:t>
      </w:r>
      <w:r w:rsidR="00B138FE" w:rsidRPr="005A1253">
        <w:rPr>
          <w:rFonts w:cs="Arial"/>
        </w:rPr>
        <w:t xml:space="preserve"> by proposing a liability limitation </w:t>
      </w:r>
      <w:r w:rsidR="003501F2">
        <w:rPr>
          <w:rFonts w:cs="Arial"/>
        </w:rPr>
        <w:t xml:space="preserve">or exclusion </w:t>
      </w:r>
      <w:r w:rsidR="00B138FE" w:rsidRPr="005A1253">
        <w:rPr>
          <w:rFonts w:cs="Arial"/>
        </w:rPr>
        <w:t xml:space="preserve">additional to those set out in clause </w:t>
      </w:r>
      <w:r w:rsidR="003E727C" w:rsidRPr="005A1253">
        <w:rPr>
          <w:rFonts w:cs="Arial"/>
        </w:rPr>
        <w:t>10.10</w:t>
      </w:r>
      <w:r w:rsidR="00B138FE" w:rsidRPr="005A1253">
        <w:rPr>
          <w:rFonts w:cs="Arial"/>
        </w:rPr>
        <w:t xml:space="preserve">), </w:t>
      </w:r>
      <w:r w:rsidRPr="005A1253">
        <w:rPr>
          <w:rFonts w:cs="Arial"/>
        </w:rPr>
        <w:t>the tenderer is to provide the following details:</w:t>
      </w:r>
    </w:p>
    <w:p w14:paraId="3BF1A4C0" w14:textId="3D09C3A1" w:rsidR="00AB3B33" w:rsidRPr="005A1253" w:rsidRDefault="00AB3B33" w:rsidP="00B13D92">
      <w:pPr>
        <w:pStyle w:val="ATTANNLV3-ASDEFCON"/>
        <w:rPr>
          <w:rFonts w:cs="Arial"/>
        </w:rPr>
      </w:pPr>
      <w:r w:rsidRPr="005A1253">
        <w:rPr>
          <w:rFonts w:cs="Arial"/>
        </w:rPr>
        <w:t xml:space="preserve">the terms of the tenderer’s proposed limitation of liability, including </w:t>
      </w:r>
      <w:r w:rsidR="00C45F70">
        <w:rPr>
          <w:rFonts w:cs="Arial"/>
        </w:rPr>
        <w:t>their</w:t>
      </w:r>
      <w:r w:rsidR="00C45F70" w:rsidRPr="005A1253">
        <w:rPr>
          <w:rFonts w:cs="Arial"/>
        </w:rPr>
        <w:t xml:space="preserve"> </w:t>
      </w:r>
      <w:r w:rsidRPr="005A1253">
        <w:rPr>
          <w:rFonts w:cs="Arial"/>
        </w:rPr>
        <w:t xml:space="preserve">proposed monetary cap for each category of loss/liability set out in clause </w:t>
      </w:r>
      <w:r w:rsidR="00B138FE" w:rsidRPr="005A1253">
        <w:rPr>
          <w:rFonts w:cs="Arial"/>
        </w:rPr>
        <w:t>10.10.1 and 10.10.</w:t>
      </w:r>
      <w:r w:rsidR="00B14C51" w:rsidRPr="005A1253">
        <w:rPr>
          <w:rFonts w:cs="Arial"/>
        </w:rPr>
        <w:t>3</w:t>
      </w:r>
      <w:r w:rsidR="00B138FE" w:rsidRPr="005A1253">
        <w:rPr>
          <w:rFonts w:cs="Arial"/>
        </w:rPr>
        <w:t xml:space="preserve"> (if applicable) </w:t>
      </w:r>
      <w:r w:rsidRPr="005A1253">
        <w:rPr>
          <w:rFonts w:cs="Arial"/>
        </w:rPr>
        <w:t>of the draft COC;</w:t>
      </w:r>
    </w:p>
    <w:p w14:paraId="404A29EC" w14:textId="77777777" w:rsidR="00AB3B33" w:rsidRPr="005A1253" w:rsidRDefault="00AB3B33" w:rsidP="00B13D92">
      <w:pPr>
        <w:pStyle w:val="ATTANNLV3-ASDEFCON"/>
        <w:rPr>
          <w:rFonts w:cs="Arial"/>
        </w:rPr>
      </w:pPr>
      <w:r w:rsidRPr="005A1253">
        <w:rPr>
          <w:rFonts w:cs="Arial"/>
        </w:rPr>
        <w:t xml:space="preserve">an explanation of why the tenderer requires a limitation of its liability regime different to that proposed in clause </w:t>
      </w:r>
      <w:r w:rsidR="00660530" w:rsidRPr="005A1253">
        <w:rPr>
          <w:rFonts w:cs="Arial"/>
        </w:rPr>
        <w:t>10.10</w:t>
      </w:r>
      <w:r w:rsidRPr="005A1253">
        <w:rPr>
          <w:rFonts w:cs="Arial"/>
        </w:rPr>
        <w:t xml:space="preserve"> of the draft COC; and</w:t>
      </w:r>
    </w:p>
    <w:p w14:paraId="78372A35" w14:textId="77777777" w:rsidR="00AB3B33" w:rsidRPr="005A1253" w:rsidRDefault="00AB3B33" w:rsidP="00B13D92">
      <w:pPr>
        <w:pStyle w:val="ATTANNLV3-ASDEFCON"/>
        <w:rPr>
          <w:rFonts w:cs="Arial"/>
        </w:rPr>
      </w:pPr>
      <w:proofErr w:type="gramStart"/>
      <w:r w:rsidRPr="005A1253">
        <w:rPr>
          <w:rFonts w:cs="Arial"/>
        </w:rPr>
        <w:t>the</w:t>
      </w:r>
      <w:proofErr w:type="gramEnd"/>
      <w:r w:rsidRPr="005A1253">
        <w:rPr>
          <w:rFonts w:cs="Arial"/>
        </w:rPr>
        <w:t xml:space="preserve"> impact (if any) of these changes on the insurance requirements of the draft COC.</w:t>
      </w:r>
    </w:p>
    <w:p w14:paraId="775B2D89" w14:textId="77777777" w:rsidR="00F27F2D" w:rsidRPr="005A1253" w:rsidRDefault="00F27F2D" w:rsidP="00C07D90">
      <w:pPr>
        <w:pStyle w:val="ATTANNLV1-ASDEFCON"/>
      </w:pPr>
      <w:bookmarkStart w:id="4" w:name="_Toc531857837"/>
      <w:r w:rsidRPr="005A1253">
        <w:t>INSURANCE (Core)</w:t>
      </w:r>
      <w:bookmarkEnd w:id="4"/>
    </w:p>
    <w:p w14:paraId="7FEECB64" w14:textId="77777777" w:rsidR="0091107E" w:rsidRPr="005A1253" w:rsidRDefault="0091107E" w:rsidP="00D421D8">
      <w:pPr>
        <w:pStyle w:val="Clause"/>
        <w:rPr>
          <w:rFonts w:cs="Arial"/>
        </w:rPr>
      </w:pPr>
      <w:r w:rsidRPr="005A1253">
        <w:rPr>
          <w:rFonts w:cs="Arial"/>
        </w:rPr>
        <w:t xml:space="preserve">Draft </w:t>
      </w:r>
      <w:r w:rsidR="00F4231E" w:rsidRPr="005A1253">
        <w:rPr>
          <w:rFonts w:cs="Arial"/>
        </w:rPr>
        <w:t>COC</w:t>
      </w:r>
      <w:r w:rsidRPr="005A1253">
        <w:rPr>
          <w:rFonts w:cs="Arial"/>
        </w:rPr>
        <w:t xml:space="preserve"> reference: clause </w:t>
      </w:r>
      <w:r w:rsidR="00EA24D4" w:rsidRPr="005A1253">
        <w:rPr>
          <w:rFonts w:cs="Arial"/>
        </w:rPr>
        <w:t>9</w:t>
      </w:r>
    </w:p>
    <w:p w14:paraId="3CF3400E" w14:textId="15CEE8FC" w:rsidR="006B5215" w:rsidRDefault="00FA142B" w:rsidP="00732F04">
      <w:pPr>
        <w:pStyle w:val="NoteToTenderers-ASDEFCON"/>
        <w:keepNext w:val="0"/>
        <w:rPr>
          <w:rFonts w:eastAsia="Calibri" w:cs="Arial"/>
        </w:rPr>
      </w:pPr>
      <w:r w:rsidRPr="005A1253">
        <w:rPr>
          <w:rFonts w:eastAsia="Calibri" w:cs="Arial"/>
        </w:rPr>
        <w:t xml:space="preserve">Note to tenderers: </w:t>
      </w:r>
      <w:r w:rsidR="00647E73">
        <w:rPr>
          <w:rFonts w:eastAsia="Calibri"/>
        </w:rPr>
        <w:t xml:space="preserve"> Refer to clause 9.1 of the draft Contract for </w:t>
      </w:r>
      <w:r w:rsidR="00647E73" w:rsidRPr="00580B87">
        <w:rPr>
          <w:rFonts w:eastAsia="Calibri"/>
        </w:rPr>
        <w:t>information on</w:t>
      </w:r>
      <w:r w:rsidR="00647E73">
        <w:rPr>
          <w:rFonts w:eastAsia="Calibri"/>
        </w:rPr>
        <w:t xml:space="preserve"> the</w:t>
      </w:r>
      <w:r w:rsidR="00647E73" w:rsidRPr="00580B87">
        <w:rPr>
          <w:rFonts w:eastAsia="Calibri"/>
        </w:rPr>
        <w:t xml:space="preserve"> </w:t>
      </w:r>
      <w:r w:rsidR="00647E73">
        <w:rPr>
          <w:rFonts w:eastAsia="Calibri"/>
        </w:rPr>
        <w:t>Approved Contractor Insurance Prog</w:t>
      </w:r>
      <w:bookmarkStart w:id="5" w:name="_GoBack"/>
      <w:bookmarkEnd w:id="5"/>
      <w:r w:rsidR="00647E73">
        <w:rPr>
          <w:rFonts w:eastAsia="Calibri"/>
        </w:rPr>
        <w:t>ram</w:t>
      </w:r>
      <w:r w:rsidR="00647E73" w:rsidRPr="00580B87">
        <w:rPr>
          <w:rFonts w:eastAsia="Calibri"/>
        </w:rPr>
        <w:t xml:space="preserve"> </w:t>
      </w:r>
      <w:r w:rsidR="00647E73">
        <w:rPr>
          <w:rFonts w:eastAsia="Calibri"/>
        </w:rPr>
        <w:t>(</w:t>
      </w:r>
      <w:r w:rsidR="00647E73" w:rsidRPr="00580B87">
        <w:rPr>
          <w:rFonts w:eastAsia="Calibri"/>
        </w:rPr>
        <w:t>ACIP</w:t>
      </w:r>
      <w:r w:rsidR="00647E73">
        <w:rPr>
          <w:rFonts w:eastAsia="Calibri"/>
        </w:rPr>
        <w:t>)</w:t>
      </w:r>
      <w:r w:rsidR="00647E73" w:rsidRPr="00580B87">
        <w:rPr>
          <w:rFonts w:eastAsia="Calibri"/>
        </w:rPr>
        <w:t xml:space="preserve"> and the</w:t>
      </w:r>
      <w:r w:rsidR="00647E73" w:rsidRPr="005A1253" w:rsidDel="00647E73">
        <w:rPr>
          <w:rFonts w:eastAsia="Calibri" w:cs="Arial"/>
        </w:rPr>
        <w:t xml:space="preserve"> </w:t>
      </w:r>
      <w:r w:rsidRPr="005A1253">
        <w:rPr>
          <w:rFonts w:eastAsia="Calibri" w:cs="Arial"/>
        </w:rPr>
        <w:t>current ACIP status</w:t>
      </w:r>
      <w:r w:rsidR="00647E73">
        <w:rPr>
          <w:rFonts w:eastAsia="Calibri" w:cs="Arial"/>
        </w:rPr>
        <w:t xml:space="preserve"> of participating companies.</w:t>
      </w:r>
    </w:p>
    <w:p w14:paraId="474437D4" w14:textId="75EE3A0A" w:rsidR="00FA142B" w:rsidRPr="005A1253" w:rsidRDefault="00647E73" w:rsidP="00647E73">
      <w:pPr>
        <w:pStyle w:val="NoteToTenderers-ASDEFCON"/>
        <w:rPr>
          <w:rFonts w:eastAsia="Calibri" w:cs="Arial"/>
        </w:rPr>
      </w:pPr>
      <w:r>
        <w:rPr>
          <w:rFonts w:eastAsia="Calibri"/>
        </w:rPr>
        <w:lastRenderedPageBreak/>
        <w:t>For insurance policies</w:t>
      </w:r>
      <w:r w:rsidDel="00647E73">
        <w:t xml:space="preserve"> </w:t>
      </w:r>
      <w:r>
        <w:t>o</w:t>
      </w:r>
      <w:r w:rsidR="001D6CC8">
        <w:rPr>
          <w:rFonts w:eastAsia="Calibri" w:cs="Arial"/>
        </w:rPr>
        <w:t>the</w:t>
      </w:r>
      <w:r w:rsidR="00FA142B" w:rsidRPr="005A1253">
        <w:rPr>
          <w:rFonts w:eastAsia="Calibri" w:cs="Arial"/>
        </w:rPr>
        <w:t>r t</w:t>
      </w:r>
      <w:r w:rsidR="001D6CC8">
        <w:rPr>
          <w:rFonts w:eastAsia="Calibri" w:cs="Arial"/>
        </w:rPr>
        <w:t>ha</w:t>
      </w:r>
      <w:r w:rsidR="00FA142B" w:rsidRPr="005A1253">
        <w:rPr>
          <w:rFonts w:eastAsia="Calibri" w:cs="Arial"/>
        </w:rPr>
        <w:t>n</w:t>
      </w:r>
      <w:r w:rsidR="001D6CC8">
        <w:rPr>
          <w:rFonts w:eastAsia="Calibri" w:cs="Arial"/>
        </w:rPr>
        <w:t xml:space="preserve"> </w:t>
      </w:r>
      <w:r w:rsidR="00FA142B" w:rsidRPr="005A1253">
        <w:rPr>
          <w:rFonts w:eastAsia="Calibri" w:cs="Arial"/>
        </w:rPr>
        <w:t>ACIP</w:t>
      </w:r>
      <w:r w:rsidR="001D6CC8">
        <w:rPr>
          <w:rFonts w:eastAsia="Calibri" w:cs="Arial"/>
        </w:rPr>
        <w:t xml:space="preserve"> approved</w:t>
      </w:r>
      <w:r w:rsidR="00FA142B" w:rsidRPr="005A1253">
        <w:rPr>
          <w:rFonts w:eastAsia="Calibri" w:cs="Arial"/>
        </w:rPr>
        <w:t xml:space="preserve"> </w:t>
      </w:r>
      <w:r w:rsidR="001D6CC8" w:rsidRPr="005A1253">
        <w:rPr>
          <w:rFonts w:eastAsia="Calibri" w:cs="Arial"/>
        </w:rPr>
        <w:t>insurance policies</w:t>
      </w:r>
      <w:r w:rsidR="00FA142B" w:rsidRPr="005A1253">
        <w:rPr>
          <w:rFonts w:eastAsia="Calibri" w:cs="Arial"/>
        </w:rPr>
        <w:t xml:space="preserve">, </w:t>
      </w:r>
      <w:r w:rsidR="007A693F">
        <w:rPr>
          <w:rFonts w:eastAsia="Calibri" w:cs="Arial"/>
        </w:rPr>
        <w:t>t</w:t>
      </w:r>
      <w:r w:rsidR="001D6CC8" w:rsidRPr="005A1253">
        <w:rPr>
          <w:rFonts w:eastAsia="Calibri" w:cs="Arial"/>
        </w:rPr>
        <w:t>he Commonwealth</w:t>
      </w:r>
      <w:r w:rsidR="001D6CC8">
        <w:rPr>
          <w:rFonts w:eastAsia="Calibri" w:cs="Arial"/>
        </w:rPr>
        <w:t xml:space="preserve"> will </w:t>
      </w:r>
      <w:r>
        <w:rPr>
          <w:rFonts w:eastAsia="Calibri" w:cs="Arial"/>
        </w:rPr>
        <w:t>seek</w:t>
      </w:r>
      <w:r w:rsidR="001D6CC8" w:rsidRPr="005A1253">
        <w:rPr>
          <w:rFonts w:eastAsia="Calibri" w:cs="Arial"/>
        </w:rPr>
        <w:t xml:space="preserve"> </w:t>
      </w:r>
      <w:r w:rsidR="001D6CC8">
        <w:rPr>
          <w:rFonts w:eastAsia="Calibri" w:cs="Arial"/>
        </w:rPr>
        <w:t xml:space="preserve">comprehensive </w:t>
      </w:r>
      <w:r w:rsidR="001D6CC8" w:rsidRPr="005A1253">
        <w:rPr>
          <w:rFonts w:eastAsia="Calibri" w:cs="Arial"/>
        </w:rPr>
        <w:t>details</w:t>
      </w:r>
      <w:r w:rsidR="001D6CC8">
        <w:rPr>
          <w:rFonts w:eastAsia="Calibri" w:cs="Arial"/>
        </w:rPr>
        <w:t xml:space="preserve"> from </w:t>
      </w:r>
      <w:r>
        <w:rPr>
          <w:rFonts w:eastAsia="Calibri" w:cs="Arial"/>
        </w:rPr>
        <w:t>the</w:t>
      </w:r>
      <w:r w:rsidR="001D6CC8" w:rsidRPr="005A1253">
        <w:rPr>
          <w:rFonts w:eastAsia="Calibri" w:cs="Arial"/>
        </w:rPr>
        <w:t xml:space="preserve"> preferred tenderer</w:t>
      </w:r>
      <w:r>
        <w:rPr>
          <w:rFonts w:eastAsia="Calibri"/>
        </w:rPr>
        <w:t>(s) during negotiations for any resultant Contract</w:t>
      </w:r>
      <w:r w:rsidR="001D6CC8" w:rsidRPr="005A1253">
        <w:rPr>
          <w:rFonts w:eastAsia="Calibri" w:cs="Arial"/>
        </w:rPr>
        <w:t xml:space="preserve">. The Commonwealth </w:t>
      </w:r>
      <w:r w:rsidR="001D6CC8">
        <w:rPr>
          <w:rFonts w:eastAsia="Calibri" w:cs="Arial"/>
        </w:rPr>
        <w:t>res</w:t>
      </w:r>
      <w:r w:rsidR="00FA142B" w:rsidRPr="005A1253">
        <w:rPr>
          <w:rFonts w:eastAsia="Calibri" w:cs="Arial"/>
        </w:rPr>
        <w:t>e</w:t>
      </w:r>
      <w:r w:rsidR="001D6CC8">
        <w:rPr>
          <w:rFonts w:eastAsia="Calibri" w:cs="Arial"/>
        </w:rPr>
        <w:t>r</w:t>
      </w:r>
      <w:r w:rsidR="00FA142B" w:rsidRPr="005A1253">
        <w:rPr>
          <w:rFonts w:eastAsia="Calibri" w:cs="Arial"/>
        </w:rPr>
        <w:t>v</w:t>
      </w:r>
      <w:r w:rsidR="001D6CC8">
        <w:rPr>
          <w:rFonts w:eastAsia="Calibri" w:cs="Arial"/>
        </w:rPr>
        <w:t xml:space="preserve">es </w:t>
      </w:r>
      <w:r w:rsidR="00FA142B" w:rsidRPr="005A1253">
        <w:rPr>
          <w:rFonts w:eastAsia="Calibri" w:cs="Arial"/>
        </w:rPr>
        <w:t xml:space="preserve">the </w:t>
      </w:r>
      <w:r w:rsidR="001D6CC8">
        <w:rPr>
          <w:rFonts w:eastAsia="Calibri" w:cs="Arial"/>
        </w:rPr>
        <w:t xml:space="preserve">right </w:t>
      </w:r>
      <w:r w:rsidR="001D6CC8" w:rsidRPr="005A1253">
        <w:rPr>
          <w:rFonts w:eastAsia="Calibri" w:cs="Arial"/>
        </w:rPr>
        <w:t>t</w:t>
      </w:r>
      <w:r w:rsidR="001D6CC8">
        <w:rPr>
          <w:rFonts w:eastAsia="Calibri" w:cs="Arial"/>
        </w:rPr>
        <w:t xml:space="preserve">o </w:t>
      </w:r>
      <w:r w:rsidR="001D6CC8" w:rsidRPr="005A1253">
        <w:rPr>
          <w:rFonts w:eastAsia="Calibri" w:cs="Arial"/>
        </w:rPr>
        <w:t>requ</w:t>
      </w:r>
      <w:r w:rsidR="001D6CC8">
        <w:rPr>
          <w:rFonts w:eastAsia="Calibri" w:cs="Arial"/>
        </w:rPr>
        <w:t xml:space="preserve">est </w:t>
      </w:r>
      <w:r w:rsidR="001D6CC8" w:rsidRPr="005A1253">
        <w:rPr>
          <w:rFonts w:eastAsia="Calibri" w:cs="Arial"/>
        </w:rPr>
        <w:t>additional</w:t>
      </w:r>
      <w:r w:rsidR="001D6CC8" w:rsidRPr="001D6CC8">
        <w:rPr>
          <w:rFonts w:eastAsia="Calibri" w:cs="Arial"/>
        </w:rPr>
        <w:t xml:space="preserve"> </w:t>
      </w:r>
      <w:r w:rsidR="001D6CC8" w:rsidRPr="005A1253">
        <w:rPr>
          <w:rFonts w:eastAsia="Calibri" w:cs="Arial"/>
        </w:rPr>
        <w:t>insurance</w:t>
      </w:r>
      <w:r w:rsidR="001D6CC8" w:rsidRPr="001D6CC8">
        <w:rPr>
          <w:rFonts w:eastAsia="Calibri" w:cs="Arial"/>
        </w:rPr>
        <w:t xml:space="preserve"> </w:t>
      </w:r>
      <w:r w:rsidR="001D6CC8" w:rsidRPr="005A1253">
        <w:rPr>
          <w:rFonts w:eastAsia="Calibri" w:cs="Arial"/>
        </w:rPr>
        <w:t xml:space="preserve">policies </w:t>
      </w:r>
      <w:bookmarkStart w:id="6" w:name="_Ref420316880"/>
      <w:r w:rsidR="001D6CC8" w:rsidRPr="005A1253">
        <w:rPr>
          <w:rFonts w:eastAsia="Calibri" w:cs="Arial"/>
        </w:rPr>
        <w:t>bas</w:t>
      </w:r>
      <w:r w:rsidR="00FA142B" w:rsidRPr="005A1253">
        <w:rPr>
          <w:rFonts w:eastAsia="Calibri" w:cs="Arial"/>
        </w:rPr>
        <w:t>ed</w:t>
      </w:r>
      <w:r w:rsidR="001D6CC8">
        <w:rPr>
          <w:rFonts w:eastAsia="Calibri" w:cs="Arial"/>
        </w:rPr>
        <w:t xml:space="preserve"> </w:t>
      </w:r>
      <w:r w:rsidR="00FA142B" w:rsidRPr="005A1253">
        <w:rPr>
          <w:rFonts w:eastAsia="Calibri" w:cs="Arial"/>
        </w:rPr>
        <w:t>on</w:t>
      </w:r>
      <w:r w:rsidR="001D6CC8">
        <w:rPr>
          <w:rFonts w:eastAsia="Calibri" w:cs="Arial"/>
        </w:rPr>
        <w:t xml:space="preserve"> any circumstances </w:t>
      </w:r>
      <w:r w:rsidR="0033750C">
        <w:rPr>
          <w:rFonts w:eastAsia="Calibri" w:cs="Arial"/>
        </w:rPr>
        <w:t xml:space="preserve">assessed as being relevant </w:t>
      </w:r>
      <w:bookmarkEnd w:id="6"/>
      <w:r w:rsidR="0033750C">
        <w:rPr>
          <w:rFonts w:eastAsia="Calibri" w:cs="Arial"/>
        </w:rPr>
        <w:t>to the Commonwealth’s risk assessments</w:t>
      </w:r>
      <w:r w:rsidR="00FA142B" w:rsidRPr="005A1253">
        <w:rPr>
          <w:rFonts w:eastAsia="Calibri" w:cs="Arial"/>
        </w:rPr>
        <w:t>.</w:t>
      </w:r>
    </w:p>
    <w:p w14:paraId="6DAC725C" w14:textId="60AE74BE" w:rsidR="007B0718" w:rsidRDefault="007B0718" w:rsidP="00B13D92">
      <w:pPr>
        <w:pStyle w:val="ATTANNLV2-ASDEFCON"/>
        <w:rPr>
          <w:rFonts w:cs="Arial"/>
        </w:rPr>
      </w:pPr>
      <w:r w:rsidRPr="005A1253">
        <w:rPr>
          <w:rFonts w:cs="Arial"/>
        </w:rPr>
        <w:t>All tenderers</w:t>
      </w:r>
      <w:r>
        <w:rPr>
          <w:rFonts w:cs="Arial"/>
        </w:rPr>
        <w:t xml:space="preserve"> </w:t>
      </w:r>
      <w:r w:rsidRPr="005A1253">
        <w:rPr>
          <w:rFonts w:eastAsia="Calibri" w:cs="Arial"/>
        </w:rPr>
        <w:t>are to indicate in their Statement of Non-Compliance</w:t>
      </w:r>
      <w:r>
        <w:rPr>
          <w:rFonts w:eastAsia="Calibri" w:cs="Arial"/>
        </w:rPr>
        <w:t xml:space="preserve"> </w:t>
      </w:r>
      <w:r w:rsidRPr="005A1253">
        <w:rPr>
          <w:rFonts w:eastAsia="Calibri" w:cs="Arial"/>
        </w:rPr>
        <w:t>the extent to which</w:t>
      </w:r>
      <w:r>
        <w:rPr>
          <w:rFonts w:eastAsia="Calibri" w:cs="Arial"/>
        </w:rPr>
        <w:t xml:space="preserve"> they do not comply with the </w:t>
      </w:r>
      <w:r w:rsidRPr="005A1253">
        <w:rPr>
          <w:rFonts w:cs="Arial"/>
        </w:rPr>
        <w:t>insurances required by the draft COC</w:t>
      </w:r>
      <w:r>
        <w:rPr>
          <w:rFonts w:cs="Arial"/>
        </w:rPr>
        <w:t xml:space="preserve"> </w:t>
      </w:r>
      <w:r>
        <w:rPr>
          <w:rFonts w:eastAsia="Calibri"/>
        </w:rPr>
        <w:t>(</w:t>
      </w:r>
      <w:proofErr w:type="gramStart"/>
      <w:r>
        <w:rPr>
          <w:rFonts w:eastAsia="Calibri"/>
        </w:rPr>
        <w:t>provided that</w:t>
      </w:r>
      <w:proofErr w:type="gramEnd"/>
      <w:r>
        <w:rPr>
          <w:rFonts w:eastAsia="Calibri"/>
        </w:rPr>
        <w:t xml:space="preserve"> tenderers with ACIP status are deemed compliant in relation to the insurances that are within their ACIP approval).</w:t>
      </w:r>
    </w:p>
    <w:p w14:paraId="3604EBCC" w14:textId="2857EFB1" w:rsidR="00AD2C24" w:rsidRPr="005A1253" w:rsidRDefault="00AD2C24" w:rsidP="00B13D92">
      <w:pPr>
        <w:pStyle w:val="ATTANNLV2-ASDEFCON"/>
        <w:rPr>
          <w:rFonts w:cs="Arial"/>
        </w:rPr>
      </w:pPr>
      <w:r w:rsidRPr="005A1253">
        <w:rPr>
          <w:rFonts w:cs="Arial"/>
        </w:rPr>
        <w:t xml:space="preserve">All tenderers are to identify in their tendered prices detailed in </w:t>
      </w:r>
      <w:r w:rsidR="00ED6A12">
        <w:t xml:space="preserve">the ‘Specific Prices’ worksheet of the Support Pricing Workbook (SPTPW) submitted under </w:t>
      </w:r>
      <w:r w:rsidRPr="005A1253">
        <w:rPr>
          <w:rFonts w:cs="Arial"/>
        </w:rPr>
        <w:t>TDR D</w:t>
      </w:r>
      <w:r w:rsidR="00ED6A12">
        <w:rPr>
          <w:rFonts w:cs="Arial"/>
        </w:rPr>
        <w:t>,</w:t>
      </w:r>
      <w:r w:rsidRPr="005A1253">
        <w:rPr>
          <w:rFonts w:cs="Arial"/>
        </w:rPr>
        <w:t xml:space="preserve"> details of all costs associated with the insurance policies covered in the tenderer’s insurance response.</w:t>
      </w:r>
    </w:p>
    <w:p w14:paraId="2B07DE69" w14:textId="77777777" w:rsidR="00F27F2D" w:rsidRPr="005A1253" w:rsidRDefault="005A1253" w:rsidP="00C07D90">
      <w:pPr>
        <w:pStyle w:val="ATTANNLV1-ASDEFCON"/>
      </w:pPr>
      <w:bookmarkStart w:id="7" w:name="_Toc531857839"/>
      <w:r>
        <w:t>TECHNICAL DATA AND SOFTWARE RIGHTS</w:t>
      </w:r>
      <w:r w:rsidR="00F27F2D" w:rsidRPr="005A1253">
        <w:t xml:space="preserve"> (Core)</w:t>
      </w:r>
    </w:p>
    <w:p w14:paraId="67EC3DC8" w14:textId="77777777" w:rsidR="00EC2843" w:rsidRPr="005A1253" w:rsidRDefault="00EC2843" w:rsidP="00906A2E">
      <w:pPr>
        <w:pStyle w:val="Clause"/>
        <w:rPr>
          <w:rFonts w:cs="Arial"/>
        </w:rPr>
      </w:pPr>
      <w:r w:rsidRPr="005A1253">
        <w:rPr>
          <w:rFonts w:cs="Arial"/>
        </w:rPr>
        <w:t xml:space="preserve">Draft </w:t>
      </w:r>
      <w:r w:rsidR="00F4231E" w:rsidRPr="005A1253">
        <w:rPr>
          <w:rFonts w:cs="Arial"/>
        </w:rPr>
        <w:t>COC</w:t>
      </w:r>
      <w:r w:rsidR="00F4231E" w:rsidRPr="005A1253">
        <w:rPr>
          <w:rFonts w:cs="Arial"/>
          <w:i w:val="0"/>
        </w:rPr>
        <w:t xml:space="preserve"> </w:t>
      </w:r>
      <w:r w:rsidR="005F1B4E" w:rsidRPr="005A1253">
        <w:rPr>
          <w:rFonts w:cs="Arial"/>
        </w:rPr>
        <w:t>reference: clause 5</w:t>
      </w:r>
    </w:p>
    <w:p w14:paraId="31951720" w14:textId="2593E00C" w:rsidR="00337683" w:rsidRDefault="005A1253" w:rsidP="00C07D90">
      <w:pPr>
        <w:pStyle w:val="NoteToDrafters-ASDEFCON"/>
      </w:pPr>
      <w:r w:rsidRPr="005A1253">
        <w:t xml:space="preserve">Note to drafters:  </w:t>
      </w:r>
      <w:r w:rsidR="008C182E">
        <w:t>Refer to clause 5 of the draft COC regarding analysis and tailoring requirements</w:t>
      </w:r>
    </w:p>
    <w:p w14:paraId="62B594D5" w14:textId="3D8BAF31" w:rsidR="00E559A0" w:rsidRDefault="00F27F2D" w:rsidP="00B10547">
      <w:pPr>
        <w:pStyle w:val="NoteToTenderers-ASDEFCON"/>
        <w:keepNext w:val="0"/>
        <w:rPr>
          <w:rFonts w:cs="Arial"/>
        </w:rPr>
      </w:pPr>
      <w:proofErr w:type="gramStart"/>
      <w:r w:rsidRPr="005A1253">
        <w:rPr>
          <w:rFonts w:cs="Arial"/>
        </w:rPr>
        <w:t xml:space="preserve">Note to tenderers:  </w:t>
      </w:r>
      <w:r w:rsidR="00E559A0" w:rsidRPr="00E559A0">
        <w:rPr>
          <w:rFonts w:cs="Arial"/>
        </w:rPr>
        <w:t xml:space="preserve">Tenderers are required to </w:t>
      </w:r>
      <w:r w:rsidR="00B078DB">
        <w:rPr>
          <w:rFonts w:cs="Arial"/>
        </w:rPr>
        <w:t>submit</w:t>
      </w:r>
      <w:r w:rsidR="00B078DB" w:rsidRPr="00E559A0">
        <w:rPr>
          <w:rFonts w:cs="Arial"/>
        </w:rPr>
        <w:t xml:space="preserve"> </w:t>
      </w:r>
      <w:r w:rsidR="00E559A0" w:rsidRPr="00E559A0">
        <w:rPr>
          <w:rFonts w:cs="Arial"/>
        </w:rPr>
        <w:t>a draft TDSR Schedule</w:t>
      </w:r>
      <w:r w:rsidR="00B078DB">
        <w:rPr>
          <w:rFonts w:cs="Arial"/>
        </w:rPr>
        <w:t>,</w:t>
      </w:r>
      <w:r w:rsidR="00E559A0" w:rsidRPr="00E559A0">
        <w:rPr>
          <w:rFonts w:cs="Arial"/>
        </w:rPr>
        <w:t xml:space="preserve"> </w:t>
      </w:r>
      <w:r w:rsidR="00B078DB">
        <w:rPr>
          <w:rFonts w:cs="Arial"/>
        </w:rPr>
        <w:t>and</w:t>
      </w:r>
      <w:r w:rsidR="00E559A0" w:rsidRPr="00E559A0">
        <w:rPr>
          <w:rFonts w:cs="Arial"/>
        </w:rPr>
        <w:t xml:space="preserve"> ensure that any restrictions set out in the</w:t>
      </w:r>
      <w:r w:rsidR="004319BF">
        <w:rPr>
          <w:rFonts w:cs="Arial"/>
        </w:rPr>
        <w:t>ir</w:t>
      </w:r>
      <w:r w:rsidR="00E559A0" w:rsidRPr="00E559A0">
        <w:rPr>
          <w:rFonts w:cs="Arial"/>
        </w:rPr>
        <w:t xml:space="preserve"> draft TDSR Schedule do not materially limit </w:t>
      </w:r>
      <w:r w:rsidR="00B45ABD">
        <w:rPr>
          <w:rFonts w:cs="Arial"/>
        </w:rPr>
        <w:t xml:space="preserve">the </w:t>
      </w:r>
      <w:r w:rsidR="00E559A0" w:rsidRPr="00E559A0">
        <w:rPr>
          <w:rFonts w:cs="Arial"/>
        </w:rPr>
        <w:t>achievement of the Commonwealth’s sustainment objectives with respect to the Products Being Supported, affect the Commonwealth’s rights at clause 5.3 of the draft COC (otherwise than as provided for below)</w:t>
      </w:r>
      <w:r w:rsidR="00B078DB">
        <w:rPr>
          <w:rFonts w:cs="Arial"/>
        </w:rPr>
        <w:t>,</w:t>
      </w:r>
      <w:r w:rsidR="00E559A0" w:rsidRPr="00E559A0">
        <w:rPr>
          <w:rFonts w:cs="Arial"/>
        </w:rPr>
        <w:t xml:space="preserve"> or the tenderer's compliance with the warranties contained in clause 5 of the draft COC.</w:t>
      </w:r>
      <w:proofErr w:type="gramEnd"/>
    </w:p>
    <w:p w14:paraId="715162CA" w14:textId="1726FECA" w:rsidR="006B5215" w:rsidRDefault="00F27F2D" w:rsidP="005A1253">
      <w:pPr>
        <w:pStyle w:val="NoteToTenderers-ASDEFCON"/>
        <w:rPr>
          <w:rFonts w:cs="Arial"/>
        </w:rPr>
      </w:pPr>
      <w:r w:rsidRPr="005A1253">
        <w:rPr>
          <w:rFonts w:cs="Arial"/>
        </w:rPr>
        <w:t>Tenderers should familiarise themselves with the</w:t>
      </w:r>
      <w:r w:rsidR="000B2776">
        <w:rPr>
          <w:rFonts w:cs="Arial"/>
        </w:rPr>
        <w:t xml:space="preserve"> </w:t>
      </w:r>
      <w:r w:rsidR="00337683" w:rsidRPr="00337683">
        <w:rPr>
          <w:rFonts w:cs="Arial"/>
        </w:rPr>
        <w:t>ASDEFCON Technical Data and Intellectual Property</w:t>
      </w:r>
      <w:r w:rsidR="00337683">
        <w:rPr>
          <w:rFonts w:cs="Arial"/>
        </w:rPr>
        <w:t xml:space="preserve"> </w:t>
      </w:r>
      <w:r w:rsidR="00337683" w:rsidRPr="00337683">
        <w:rPr>
          <w:rFonts w:cs="Arial"/>
        </w:rPr>
        <w:t>Commercial Handbook</w:t>
      </w:r>
      <w:r w:rsidR="000B2776">
        <w:rPr>
          <w:rFonts w:cs="Arial"/>
        </w:rPr>
        <w:t xml:space="preserve">, </w:t>
      </w:r>
      <w:r w:rsidRPr="005A1253">
        <w:rPr>
          <w:rFonts w:cs="Arial"/>
        </w:rPr>
        <w:t xml:space="preserve">which </w:t>
      </w:r>
      <w:proofErr w:type="gramStart"/>
      <w:r w:rsidRPr="005A1253">
        <w:rPr>
          <w:rFonts w:cs="Arial"/>
        </w:rPr>
        <w:t>can be accessed</w:t>
      </w:r>
      <w:proofErr w:type="gramEnd"/>
      <w:r w:rsidRPr="005A1253">
        <w:rPr>
          <w:rFonts w:cs="Arial"/>
        </w:rPr>
        <w:t xml:space="preserve"> at</w:t>
      </w:r>
      <w:r w:rsidR="00BD2033" w:rsidRPr="005A1253">
        <w:rPr>
          <w:rFonts w:cs="Arial"/>
        </w:rPr>
        <w:t>:</w:t>
      </w:r>
    </w:p>
    <w:p w14:paraId="677EA445" w14:textId="4458BAF0" w:rsidR="00FC6F96" w:rsidRDefault="00F135C9" w:rsidP="004E0590">
      <w:pPr>
        <w:pStyle w:val="NoteToTenderersBullets-ASDEFCON"/>
        <w:rPr>
          <w:rFonts w:cs="Arial"/>
        </w:rPr>
      </w:pPr>
      <w:hyperlink r:id="rId11" w:history="1">
        <w:r w:rsidR="00490E45">
          <w:rPr>
            <w:rStyle w:val="Hyperlink"/>
            <w:rFonts w:cs="Arial"/>
          </w:rPr>
          <w:t>https://www.defence.gov.au/business-industry/procurement/policies-guidelines-templates/procurement-guidance/intellectual-property-framework</w:t>
        </w:r>
      </w:hyperlink>
      <w:r w:rsidR="00E73AAC" w:rsidRPr="005A1253">
        <w:rPr>
          <w:rFonts w:cs="Arial"/>
        </w:rPr>
        <w:t>.</w:t>
      </w:r>
      <w:bookmarkStart w:id="8" w:name="_Ref521118585"/>
    </w:p>
    <w:p w14:paraId="49CBF7C4" w14:textId="2351468A" w:rsidR="00F27F2D" w:rsidRPr="005A1253" w:rsidRDefault="00F27F2D" w:rsidP="00B13D92">
      <w:pPr>
        <w:pStyle w:val="ATTANNLV2-ASDEFCON"/>
        <w:rPr>
          <w:rFonts w:cs="Arial"/>
        </w:rPr>
      </w:pPr>
      <w:r w:rsidRPr="005A1253">
        <w:rPr>
          <w:rFonts w:cs="Arial"/>
        </w:rPr>
        <w:t xml:space="preserve">Tenderers </w:t>
      </w:r>
      <w:r w:rsidR="00A84A72" w:rsidRPr="005A1253">
        <w:rPr>
          <w:rFonts w:cs="Arial"/>
        </w:rPr>
        <w:t>are to</w:t>
      </w:r>
      <w:r w:rsidRPr="005A1253">
        <w:rPr>
          <w:rFonts w:cs="Arial"/>
        </w:rPr>
        <w:t xml:space="preserve"> provide a draft </w:t>
      </w:r>
      <w:r w:rsidR="000B2776">
        <w:rPr>
          <w:rFonts w:cs="Arial"/>
        </w:rPr>
        <w:t>TDSR Schedule</w:t>
      </w:r>
      <w:r w:rsidRPr="005A1253">
        <w:rPr>
          <w:rFonts w:cs="Arial"/>
        </w:rPr>
        <w:t xml:space="preserve"> in </w:t>
      </w:r>
      <w:r w:rsidR="000B2776">
        <w:rPr>
          <w:rFonts w:cs="Arial"/>
        </w:rPr>
        <w:t>the form of Attachment G to the draft COC by specifying the following</w:t>
      </w:r>
      <w:bookmarkEnd w:id="8"/>
      <w:r w:rsidR="000B2776">
        <w:rPr>
          <w:rFonts w:cs="Arial"/>
        </w:rPr>
        <w:t>:</w:t>
      </w:r>
    </w:p>
    <w:p w14:paraId="3F0AFA5E" w14:textId="7CB0A719" w:rsidR="00F27F2D" w:rsidRDefault="000B2776" w:rsidP="000B2776">
      <w:pPr>
        <w:pStyle w:val="NoteToTenderers-ASDEFCON"/>
      </w:pPr>
      <w:r w:rsidRPr="000B2776">
        <w:t xml:space="preserve">Note to tenderers: </w:t>
      </w:r>
      <w:r w:rsidR="00725D84">
        <w:t xml:space="preserve"> </w:t>
      </w:r>
      <w:r w:rsidRPr="000B2776">
        <w:t xml:space="preserve">Highly Sensitive TD and Highly Sensitive Software listed in Annex A should only include TD or Software the disclosure of which would have a major adverse effect on the </w:t>
      </w:r>
      <w:r w:rsidR="0084488B">
        <w:t>commercial interests</w:t>
      </w:r>
      <w:r w:rsidR="0084488B" w:rsidRPr="000B2776">
        <w:t xml:space="preserve"> </w:t>
      </w:r>
      <w:r w:rsidRPr="000B2776">
        <w:t xml:space="preserve">of the Contractor or Approved Subcontractor.  This TD or Software </w:t>
      </w:r>
      <w:proofErr w:type="gramStart"/>
      <w:r w:rsidRPr="000B2776">
        <w:t>must be clearly identified at its lowest constituent / configuration item and linked to the TDL</w:t>
      </w:r>
      <w:proofErr w:type="gramEnd"/>
      <w:r w:rsidRPr="000B2776">
        <w:t>.  Highly Sensitive TD and Highly Sensitive Software would generally already exist at the Effective Date and not include TD or Software specifically created under the Contract for the Commonwealth.</w:t>
      </w:r>
    </w:p>
    <w:p w14:paraId="40908EB0" w14:textId="20076065" w:rsidR="000B2776" w:rsidRDefault="000B2776" w:rsidP="00C07D90">
      <w:pPr>
        <w:pStyle w:val="COTCOCLV4-ASDEFCON"/>
      </w:pPr>
      <w:r>
        <w:t xml:space="preserve">Annex A - all items of TD and Software to be identified as Highly Sensitive TD and Highly Sensitive Software and all proposed restrictions that will apply to the Commonwealth's rights to Use and Sublicense the specified TD </w:t>
      </w:r>
      <w:r w:rsidR="00B45ABD">
        <w:t>and</w:t>
      </w:r>
      <w:r>
        <w:t xml:space="preserve"> Software;</w:t>
      </w:r>
    </w:p>
    <w:p w14:paraId="04BEBFD2" w14:textId="5609D556" w:rsidR="000B2776" w:rsidRDefault="000B2776" w:rsidP="000B2776">
      <w:pPr>
        <w:pStyle w:val="COTCOCLV4-ASDEFCON"/>
      </w:pPr>
      <w:r>
        <w:t xml:space="preserve">Annex B - all restrictions proposed </w:t>
      </w:r>
      <w:r w:rsidR="00B45ABD">
        <w:t xml:space="preserve">that would </w:t>
      </w:r>
      <w:r>
        <w:t>limit the:</w:t>
      </w:r>
    </w:p>
    <w:p w14:paraId="24D19283" w14:textId="0F981621" w:rsidR="000B2776" w:rsidRDefault="000B2776" w:rsidP="00C07D90">
      <w:pPr>
        <w:pStyle w:val="COTCOCLV5-ASDEFCON"/>
      </w:pPr>
      <w:r>
        <w:t>TD and Software rights to be granted under clause 5.3.3b(ix) of the draft COC; and</w:t>
      </w:r>
    </w:p>
    <w:p w14:paraId="6C45F78B" w14:textId="3BF9897F" w:rsidR="00FC6F96" w:rsidRDefault="000B2776" w:rsidP="000B2776">
      <w:pPr>
        <w:pStyle w:val="COTCOCLV5-ASDEFCON"/>
      </w:pPr>
      <w:r>
        <w:t>delivery of TD and Software to the Commonwealth or other persons under clause 5.13 of the draft COC;</w:t>
      </w:r>
    </w:p>
    <w:p w14:paraId="063709C0" w14:textId="6ECB4E4E" w:rsidR="00FC6F96" w:rsidRDefault="000B2776" w:rsidP="000B2776">
      <w:pPr>
        <w:pStyle w:val="NoteToTenderers-ASDEFCON"/>
      </w:pPr>
      <w:r>
        <w:t xml:space="preserve">Note to tenderers: </w:t>
      </w:r>
      <w:r w:rsidR="00725D84">
        <w:t xml:space="preserve"> </w:t>
      </w:r>
      <w:r w:rsidR="00B45ABD">
        <w:t>T</w:t>
      </w:r>
      <w:r>
        <w:t>he Commonwealth may require that a Commercial Item be listed as a Key Commercial Item in Annex C</w:t>
      </w:r>
      <w:r w:rsidR="00512ED6">
        <w:t xml:space="preserve"> to the TDSR Schedule</w:t>
      </w:r>
      <w:r>
        <w:t xml:space="preserve">, notwithstanding that </w:t>
      </w:r>
      <w:proofErr w:type="gramStart"/>
      <w:r>
        <w:t>it is not owned by the Contractor, Approved Subcontractor or a Related Body Corporate of the Contractor</w:t>
      </w:r>
      <w:proofErr w:type="gramEnd"/>
      <w:r>
        <w:t>.  This may be required if the Commonwealth considers that the relevant Commercial Item is of high value or particular significance to the sustainment of the Products Being Supported.</w:t>
      </w:r>
    </w:p>
    <w:p w14:paraId="1351A99C" w14:textId="5822657D" w:rsidR="00FC6F96" w:rsidRDefault="000B2776" w:rsidP="000B2776">
      <w:pPr>
        <w:pStyle w:val="COTCOCLV4-ASDEFCON"/>
      </w:pPr>
      <w:r>
        <w:t>Annex C - any Key Commercial Items proposed to be provided as, or as part of, the Deliverables and the proposed licence terms in respect of the related Commercial TD and Commercial Software in accordance with clause 5.4.3 of the draft COC;</w:t>
      </w:r>
    </w:p>
    <w:p w14:paraId="65C4C929" w14:textId="22EAF901" w:rsidR="000B2776" w:rsidRDefault="000B2776" w:rsidP="000B2776">
      <w:pPr>
        <w:pStyle w:val="NoteToTenderers-ASDEFCON"/>
      </w:pPr>
      <w:r>
        <w:t xml:space="preserve">Note to tenderers: </w:t>
      </w:r>
      <w:r w:rsidR="00725D84">
        <w:t xml:space="preserve"> </w:t>
      </w:r>
      <w:r>
        <w:t xml:space="preserve">The Commonwealth may require ownership of certain TD and Software for reasons relating to national security and / or strategic interests associated with the sustainment of the Products Being Supported (Commonwealth TD or Commonwealth Software).  If TD and </w:t>
      </w:r>
      <w:r>
        <w:lastRenderedPageBreak/>
        <w:t xml:space="preserve">Software </w:t>
      </w:r>
      <w:proofErr w:type="gramStart"/>
      <w:r>
        <w:t>is specified</w:t>
      </w:r>
      <w:proofErr w:type="gramEnd"/>
      <w:r>
        <w:t xml:space="preserve"> as Commonwealth TD / Commonwealth Software, then ownership of IP created under the Contract in respect of those items will vest in the Commonwealth.</w:t>
      </w:r>
    </w:p>
    <w:p w14:paraId="496621C8" w14:textId="23216EC3" w:rsidR="000B2776" w:rsidRDefault="000B2776" w:rsidP="000B2776">
      <w:pPr>
        <w:pStyle w:val="NoteToTenderers-ASDEFCON"/>
      </w:pPr>
      <w:r>
        <w:t>If any Commonwealth TD or Commonwealth Software contains IP created outside the Contract and Subcontracts (</w:t>
      </w:r>
      <w:proofErr w:type="spellStart"/>
      <w:r w:rsidR="00B45ABD">
        <w:t>eg</w:t>
      </w:r>
      <w:proofErr w:type="spellEnd"/>
      <w:r w:rsidR="00B45ABD">
        <w:t>,</w:t>
      </w:r>
      <w:r>
        <w:t xml:space="preserve"> in existence prior to Effective Date), the Contractor is to grant a licence to the Commonwealth under clause 5.3 of the draft COC (subject to any proposed restrictions listed in Annex B</w:t>
      </w:r>
      <w:r w:rsidR="00025713" w:rsidRPr="00025713">
        <w:t xml:space="preserve"> </w:t>
      </w:r>
      <w:r w:rsidR="00025713">
        <w:t>to Attachment G</w:t>
      </w:r>
      <w:r>
        <w:t xml:space="preserve">).  Tenderers should not </w:t>
      </w:r>
      <w:r w:rsidR="008F2760">
        <w:t>propose</w:t>
      </w:r>
      <w:r>
        <w:t xml:space="preserve"> restrictions </w:t>
      </w:r>
      <w:r w:rsidR="008F2760">
        <w:t xml:space="preserve">that </w:t>
      </w:r>
      <w:r>
        <w:t xml:space="preserve">prevent the use of the Commonwealth TD or Commonwealth Software as provided </w:t>
      </w:r>
      <w:r w:rsidR="00B45ABD">
        <w:t xml:space="preserve">by </w:t>
      </w:r>
      <w:r>
        <w:t>clause 5.16.1b of the draft COC.</w:t>
      </w:r>
    </w:p>
    <w:p w14:paraId="1ECBB084" w14:textId="0F56D5D3" w:rsidR="00FC6F96" w:rsidRDefault="000B2776" w:rsidP="000B2776">
      <w:pPr>
        <w:pStyle w:val="COTCOCLV4-ASDEFCON"/>
      </w:pPr>
      <w:r>
        <w:t>Annex D - in relation to any items or equipment specified in Annex D for which the Commonwealth has identified that it is to own the IP created under the Contract or a Subcontract (Commonwealth TD or Commonwealth Software), the tenderer is to include, to the extent known, details of the TD or Software of those items or equipment at the system, subsystem or component level;</w:t>
      </w:r>
    </w:p>
    <w:p w14:paraId="46B73484" w14:textId="370B1FBB" w:rsidR="00FC6F96" w:rsidRDefault="000B2776" w:rsidP="000B2776">
      <w:pPr>
        <w:pStyle w:val="NoteToTenderers-ASDEFCON"/>
      </w:pPr>
      <w:r>
        <w:t xml:space="preserve">Note to tenderers:  The </w:t>
      </w:r>
      <w:r w:rsidR="008F2760">
        <w:t xml:space="preserve">Commonwealth will only agree to entities being </w:t>
      </w:r>
      <w:r>
        <w:t>Excluded Parties in exceptional circumstances</w:t>
      </w:r>
      <w:r w:rsidR="00B45ABD">
        <w:t>,</w:t>
      </w:r>
      <w:r>
        <w:t xml:space="preserve"> to </w:t>
      </w:r>
      <w:r w:rsidR="008F2760">
        <w:t xml:space="preserve">prevent </w:t>
      </w:r>
      <w:r>
        <w:t xml:space="preserve">certain competitors from being Commonwealth Service Providers for the sole purpose of the licences granted under clauses 5.3.3a and </w:t>
      </w:r>
      <w:proofErr w:type="gramStart"/>
      <w:r>
        <w:t>5.7.1b(</w:t>
      </w:r>
      <w:proofErr w:type="spellStart"/>
      <w:proofErr w:type="gramEnd"/>
      <w:r>
        <w:t>i</w:t>
      </w:r>
      <w:proofErr w:type="spellEnd"/>
      <w:r>
        <w:t xml:space="preserve">) of the draft COC.  However, the Commonwealth </w:t>
      </w:r>
      <w:proofErr w:type="gramStart"/>
      <w:r>
        <w:t>will be permitted</w:t>
      </w:r>
      <w:proofErr w:type="gramEnd"/>
      <w:r>
        <w:t xml:space="preserve"> to grant </w:t>
      </w:r>
      <w:proofErr w:type="spellStart"/>
      <w:r>
        <w:t>Sublicences</w:t>
      </w:r>
      <w:proofErr w:type="spellEnd"/>
      <w:r>
        <w:t xml:space="preserve"> to Excluded Parties in other circumstances permitted under clause 5 of the draft COC.</w:t>
      </w:r>
    </w:p>
    <w:p w14:paraId="0693CFBC" w14:textId="5879AB20" w:rsidR="000B2776" w:rsidRDefault="000B2776" w:rsidP="000B2776">
      <w:pPr>
        <w:pStyle w:val="COTCOCLV4-ASDEFCON"/>
      </w:pPr>
      <w:r>
        <w:t xml:space="preserve">Annex E - those parties who are proposed by the tenderer to be excluded from being a Commonwealth Service Provider for the sole purpose of the licences granted under clauses 5.3.3a and </w:t>
      </w:r>
      <w:proofErr w:type="gramStart"/>
      <w:r>
        <w:t>5.7.1b(</w:t>
      </w:r>
      <w:proofErr w:type="spellStart"/>
      <w:proofErr w:type="gramEnd"/>
      <w:r>
        <w:t>i</w:t>
      </w:r>
      <w:proofErr w:type="spellEnd"/>
      <w:r>
        <w:t>) of the COC.  The tenderer is to include the period of the restriction, which cannot be perpetual; and</w:t>
      </w:r>
    </w:p>
    <w:p w14:paraId="7038EDE1" w14:textId="3F3E30F6" w:rsidR="00FC6F96" w:rsidRDefault="000B2776" w:rsidP="000B2776">
      <w:pPr>
        <w:pStyle w:val="COTCOCLV4-ASDEFCON"/>
      </w:pPr>
      <w:r>
        <w:t>Annex F - details of any restrictions that limit the licences granted to the Commonwealth under the Contract in relation to Patents, Registrable Designs or Circuit Layouts, in accordance with clause 5.18 of the draft COC.</w:t>
      </w:r>
    </w:p>
    <w:p w14:paraId="4611FB30" w14:textId="619E8BD1" w:rsidR="000B2776" w:rsidRPr="000B2776" w:rsidRDefault="000B2776" w:rsidP="000B2776">
      <w:pPr>
        <w:pStyle w:val="ATTANNLV2-ASDEFCON"/>
        <w:rPr>
          <w:rFonts w:cs="Arial"/>
        </w:rPr>
      </w:pPr>
      <w:r>
        <w:t xml:space="preserve">Tenderers are to provide detailed justification for all proposed restrictions or other terms included in the draft TDSR Schedule </w:t>
      </w:r>
      <w:r w:rsidR="008F2760">
        <w:t>(</w:t>
      </w:r>
      <w:r>
        <w:t xml:space="preserve">to the extent </w:t>
      </w:r>
      <w:r w:rsidR="008F2760">
        <w:t xml:space="preserve">it </w:t>
      </w:r>
      <w:r>
        <w:t>know</w:t>
      </w:r>
      <w:r w:rsidR="008F2760">
        <w:t>s</w:t>
      </w:r>
      <w:r>
        <w:t xml:space="preserve"> </w:t>
      </w:r>
      <w:r w:rsidR="003F2B27">
        <w:t>what the restrictions are or are likely to be)</w:t>
      </w:r>
      <w:r>
        <w:t>, including a detailed explanation of how any such restrictions will not detrimentally impact t</w:t>
      </w:r>
      <w:r w:rsidRPr="000B2776">
        <w:rPr>
          <w:rFonts w:cs="Arial"/>
        </w:rPr>
        <w:t>he sustainment of the Products Being Supported.</w:t>
      </w:r>
    </w:p>
    <w:p w14:paraId="5309E2B0" w14:textId="1A66CE22" w:rsidR="000B2776" w:rsidRPr="005A1253" w:rsidRDefault="000B2776" w:rsidP="000B2776">
      <w:pPr>
        <w:pStyle w:val="ATTANNLV2-ASDEFCON"/>
      </w:pPr>
      <w:r w:rsidRPr="000B2776">
        <w:rPr>
          <w:rFonts w:cs="Arial"/>
        </w:rPr>
        <w:t xml:space="preserve">Tenderers are to identify in their tender any Commercial TD and Commercial Software for which the licence to </w:t>
      </w:r>
      <w:proofErr w:type="gramStart"/>
      <w:r w:rsidRPr="000B2776">
        <w:rPr>
          <w:rFonts w:cs="Arial"/>
        </w:rPr>
        <w:t>be granted</w:t>
      </w:r>
      <w:proofErr w:type="gramEnd"/>
      <w:r w:rsidRPr="000B2776">
        <w:rPr>
          <w:rFonts w:cs="Arial"/>
        </w:rPr>
        <w:t xml:space="preserve"> t</w:t>
      </w:r>
      <w:r>
        <w:t xml:space="preserve">o the Commonwealth for the purposes of clause 5.4.4 of the draft COC, will or is likely to require the </w:t>
      </w:r>
      <w:r w:rsidR="00B2476A">
        <w:t xml:space="preserve">Commonwealth </w:t>
      </w:r>
      <w:r>
        <w:t xml:space="preserve">to pay a Royalty or other fee (not otherwise included in the </w:t>
      </w:r>
      <w:r w:rsidR="00025713">
        <w:t xml:space="preserve">tendered </w:t>
      </w:r>
      <w:r w:rsidR="00B2476A">
        <w:t xml:space="preserve">price </w:t>
      </w:r>
      <w:r w:rsidR="00025713">
        <w:t xml:space="preserve">and </w:t>
      </w:r>
      <w:r w:rsidR="00B2476A">
        <w:t>payment details</w:t>
      </w:r>
      <w:r>
        <w:t>).</w:t>
      </w:r>
    </w:p>
    <w:p w14:paraId="27B63CE9" w14:textId="265C1B87" w:rsidR="00A81532" w:rsidRPr="00A81532" w:rsidRDefault="00A81532" w:rsidP="004319BF">
      <w:pPr>
        <w:pStyle w:val="ATTANNLV1-ASDEFCON"/>
      </w:pPr>
      <w:r w:rsidRPr="00A81532">
        <w:t>Economic Benefit</w:t>
      </w:r>
      <w:r w:rsidR="00C609D9">
        <w:t>s</w:t>
      </w:r>
      <w:r w:rsidRPr="00A81532">
        <w:t xml:space="preserve"> </w:t>
      </w:r>
      <w:r w:rsidR="00490E45">
        <w:t>TO THE AUSTRALIAN ECONOMY</w:t>
      </w:r>
      <w:r w:rsidR="00490E45" w:rsidRPr="00A81532">
        <w:t xml:space="preserve"> </w:t>
      </w:r>
      <w:r w:rsidRPr="00A81532">
        <w:t>(</w:t>
      </w:r>
      <w:r w:rsidR="00490E45">
        <w:t>Core</w:t>
      </w:r>
      <w:r w:rsidRPr="00A81532">
        <w:t>)</w:t>
      </w:r>
    </w:p>
    <w:p w14:paraId="7C1C0C15" w14:textId="2699327D" w:rsidR="002803CF" w:rsidRPr="00F135C9" w:rsidRDefault="00A81532" w:rsidP="00F135C9">
      <w:pPr>
        <w:pStyle w:val="NoteToTenderers-ASDEFCON"/>
      </w:pPr>
      <w:r w:rsidRPr="00B10547">
        <w:t xml:space="preserve">Note to tenderers:  </w:t>
      </w:r>
      <w:r w:rsidR="00A76D8B" w:rsidRPr="00B10547">
        <w:t>For an explanation of</w:t>
      </w:r>
      <w:r w:rsidRPr="00B10547">
        <w:t xml:space="preserve"> economic benefit</w:t>
      </w:r>
      <w:r w:rsidR="00B45ABD">
        <w:t>s</w:t>
      </w:r>
      <w:r w:rsidR="00A76D8B" w:rsidRPr="00B10547">
        <w:t>, refer to the Department of Finance</w:t>
      </w:r>
      <w:r w:rsidRPr="00B10547">
        <w:t>:</w:t>
      </w:r>
    </w:p>
    <w:p w14:paraId="5D9E872D" w14:textId="1B085E3C" w:rsidR="00A81532" w:rsidRDefault="002803CF" w:rsidP="00512ED6">
      <w:pPr>
        <w:pStyle w:val="NoteToTenderersBullets-ASDEFCON"/>
      </w:pPr>
      <w:hyperlink r:id="rId12" w:history="1">
        <w:r w:rsidRPr="002803CF">
          <w:rPr>
            <w:rStyle w:val="Hyperlink"/>
          </w:rPr>
          <w:t>https://www.finance.gov.au/sites/default/files/2024-07/consideration-of-broader-economic-benefits-in-procurement_july-2024.pdf</w:t>
        </w:r>
      </w:hyperlink>
      <w:r w:rsidR="00A81532">
        <w:t>.</w:t>
      </w:r>
    </w:p>
    <w:p w14:paraId="520E7E9F" w14:textId="37984B0D" w:rsidR="00A81532" w:rsidRPr="009A18A8" w:rsidRDefault="00A81532" w:rsidP="00A11CAF">
      <w:pPr>
        <w:pStyle w:val="ATTANNLV2-ASDEFCON"/>
        <w:rPr>
          <w:rFonts w:cs="Arial"/>
        </w:rPr>
      </w:pPr>
      <w:r>
        <w:t xml:space="preserve">Tenderers are to </w:t>
      </w:r>
      <w:r w:rsidR="00A76D8B">
        <w:t>provide details of</w:t>
      </w:r>
      <w:r>
        <w:t xml:space="preserve"> the direct economic benefit</w:t>
      </w:r>
      <w:r w:rsidR="00A76D8B">
        <w:t>s</w:t>
      </w:r>
      <w:r>
        <w:t xml:space="preserve"> </w:t>
      </w:r>
      <w:r w:rsidR="00A76D8B">
        <w:t>t</w:t>
      </w:r>
      <w:r w:rsidR="00A76D8B" w:rsidRPr="001729BD">
        <w:t>hat</w:t>
      </w:r>
      <w:r w:rsidR="00A76D8B">
        <w:t xml:space="preserve"> </w:t>
      </w:r>
      <w:r w:rsidR="00A76D8B" w:rsidRPr="001729BD">
        <w:t>any</w:t>
      </w:r>
      <w:r w:rsidR="00A76D8B">
        <w:t xml:space="preserve"> </w:t>
      </w:r>
      <w:r w:rsidR="00A76D8B" w:rsidRPr="001729BD">
        <w:t>resultant</w:t>
      </w:r>
      <w:r w:rsidR="00A76D8B">
        <w:t xml:space="preserve"> </w:t>
      </w:r>
      <w:r w:rsidR="00A76D8B" w:rsidRPr="001729BD">
        <w:t>Contract</w:t>
      </w:r>
      <w:r w:rsidR="00A76D8B">
        <w:t xml:space="preserve"> </w:t>
      </w:r>
      <w:r w:rsidR="00A76D8B" w:rsidRPr="001729BD">
        <w:t>would</w:t>
      </w:r>
      <w:r w:rsidR="00A76D8B">
        <w:t xml:space="preserve"> </w:t>
      </w:r>
      <w:r w:rsidR="00A76D8B" w:rsidRPr="001729BD">
        <w:t>achieve</w:t>
      </w:r>
      <w:r w:rsidR="00A76D8B">
        <w:t xml:space="preserve"> </w:t>
      </w:r>
      <w:r w:rsidR="00A76D8B" w:rsidRPr="001729BD">
        <w:t>for</w:t>
      </w:r>
      <w:r>
        <w:t xml:space="preserve"> the Australian economy.</w:t>
      </w:r>
    </w:p>
    <w:bookmarkEnd w:id="7"/>
    <w:p w14:paraId="128784E3" w14:textId="77777777" w:rsidR="00F27F2D" w:rsidRPr="005A1253" w:rsidRDefault="00F27F2D" w:rsidP="00732F04">
      <w:pPr>
        <w:pStyle w:val="ASDEFCONNormal"/>
        <w:keepLines/>
        <w:spacing w:before="240"/>
        <w:jc w:val="left"/>
        <w:rPr>
          <w:rFonts w:cs="Arial"/>
        </w:rPr>
      </w:pPr>
    </w:p>
    <w:sectPr w:rsidR="00F27F2D" w:rsidRPr="005A1253" w:rsidSect="00AB51BD">
      <w:headerReference w:type="default" r:id="rId13"/>
      <w:footerReference w:type="default" r:id="rId14"/>
      <w:pgSz w:w="11907" w:h="16840" w:code="9"/>
      <w:pgMar w:top="1304" w:right="1418" w:bottom="851" w:left="1418"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37DB2FF" w14:textId="77777777" w:rsidR="00A17820" w:rsidRDefault="00A17820">
      <w:r>
        <w:separator/>
      </w:r>
    </w:p>
  </w:endnote>
  <w:endnote w:type="continuationSeparator" w:id="0">
    <w:p w14:paraId="19B0A5CA" w14:textId="77777777" w:rsidR="00A17820" w:rsidRDefault="00A17820">
      <w:r>
        <w:continuationSeparator/>
      </w:r>
    </w:p>
  </w:endnote>
  <w:endnote w:type="continuationNotice" w:id="1">
    <w:p w14:paraId="0A2AF976" w14:textId="77777777" w:rsidR="00A17820" w:rsidRDefault="00A17820">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Bold">
    <w:panose1 w:val="020B0704020202020204"/>
    <w:charset w:val="00"/>
    <w:family w:val="auto"/>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6"/>
    </w:tblGrid>
    <w:tr w:rsidR="003E6FB4" w14:paraId="0316A55E" w14:textId="77777777" w:rsidTr="003E6FB4">
      <w:tc>
        <w:tcPr>
          <w:tcW w:w="2500" w:type="pct"/>
        </w:tcPr>
        <w:p w14:paraId="3CCA3548" w14:textId="56F1E4B2" w:rsidR="003E6FB4" w:rsidRDefault="00AD21D5" w:rsidP="00F135C9">
          <w:pPr>
            <w:pStyle w:val="ASDEFCONHeaderFooterLeft"/>
          </w:pPr>
          <w:fldSimple w:instr=" DOCPROPERTY Footer_Left ">
            <w:r>
              <w:t>Annex to Conditions of Tender</w:t>
            </w:r>
          </w:fldSimple>
          <w:r w:rsidR="003E6FB4">
            <w:t xml:space="preserve"> (</w:t>
          </w:r>
          <w:fldSimple w:instr=" DOCPROPERTY  Version  \* MERGEFORMAT ">
            <w:r w:rsidR="00F135C9">
              <w:t>V5.2</w:t>
            </w:r>
          </w:fldSimple>
          <w:r w:rsidR="003E6FB4">
            <w:t>)</w:t>
          </w:r>
        </w:p>
      </w:tc>
      <w:tc>
        <w:tcPr>
          <w:tcW w:w="2500" w:type="pct"/>
        </w:tcPr>
        <w:p w14:paraId="346ADFC0" w14:textId="152279FF" w:rsidR="003E6FB4" w:rsidRDefault="003E6FB4" w:rsidP="003E6FB4">
          <w:pPr>
            <w:pStyle w:val="ASDEFCONHeaderFooterRight"/>
          </w:pPr>
          <w:r>
            <w:t>A-C</w:t>
          </w:r>
          <w:r>
            <w:fldChar w:fldCharType="begin"/>
          </w:r>
          <w:r>
            <w:instrText xml:space="preserve"> PAGE   \* MERGEFORMAT </w:instrText>
          </w:r>
          <w:r>
            <w:fldChar w:fldCharType="separate"/>
          </w:r>
          <w:r w:rsidR="00F135C9">
            <w:rPr>
              <w:noProof/>
            </w:rPr>
            <w:t>2</w:t>
          </w:r>
          <w:r>
            <w:rPr>
              <w:noProof/>
            </w:rPr>
            <w:fldChar w:fldCharType="end"/>
          </w:r>
        </w:p>
      </w:tc>
    </w:tr>
    <w:tr w:rsidR="003E6FB4" w14:paraId="25210F0F" w14:textId="77777777" w:rsidTr="003E6FB4">
      <w:tc>
        <w:tcPr>
          <w:tcW w:w="5000" w:type="pct"/>
          <w:gridSpan w:val="2"/>
        </w:tcPr>
        <w:p w14:paraId="2A79FE64" w14:textId="1D5A2911" w:rsidR="003E6FB4" w:rsidRDefault="00AD21D5" w:rsidP="003E6FB4">
          <w:pPr>
            <w:pStyle w:val="ASDEFCONHeaderFooterClassification"/>
          </w:pPr>
          <w:fldSimple w:instr=" DOCPROPERTY Classification ">
            <w:r>
              <w:t>OFFICIAL</w:t>
            </w:r>
          </w:fldSimple>
        </w:p>
      </w:tc>
    </w:tr>
  </w:tbl>
  <w:p w14:paraId="74A53467" w14:textId="53CE50B1" w:rsidR="00C463FA" w:rsidRPr="003E6FB4" w:rsidRDefault="00C463FA" w:rsidP="003E6F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542D2C7" w14:textId="77777777" w:rsidR="00A17820" w:rsidRDefault="00A17820">
      <w:r>
        <w:separator/>
      </w:r>
    </w:p>
  </w:footnote>
  <w:footnote w:type="continuationSeparator" w:id="0">
    <w:p w14:paraId="24813DAE" w14:textId="77777777" w:rsidR="00A17820" w:rsidRDefault="00A17820">
      <w:r>
        <w:continuationSeparator/>
      </w:r>
    </w:p>
  </w:footnote>
  <w:footnote w:type="continuationNotice" w:id="1">
    <w:p w14:paraId="5267AA7C" w14:textId="77777777" w:rsidR="00A17820" w:rsidRDefault="00A17820">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6"/>
    </w:tblGrid>
    <w:tr w:rsidR="003E6FB4" w14:paraId="7C9DAC5D" w14:textId="77777777" w:rsidTr="003E6FB4">
      <w:tc>
        <w:tcPr>
          <w:tcW w:w="5000" w:type="pct"/>
          <w:gridSpan w:val="2"/>
        </w:tcPr>
        <w:p w14:paraId="3A3ACB7F" w14:textId="477692AA" w:rsidR="003E6FB4" w:rsidRDefault="00AD21D5" w:rsidP="003E6FB4">
          <w:pPr>
            <w:pStyle w:val="ASDEFCONHeaderFooterClassification"/>
          </w:pPr>
          <w:fldSimple w:instr=" DOCPROPERTY Classification ">
            <w:r>
              <w:t>OFFICIAL</w:t>
            </w:r>
          </w:fldSimple>
        </w:p>
      </w:tc>
    </w:tr>
    <w:tr w:rsidR="003E6FB4" w14:paraId="46680F0B" w14:textId="77777777" w:rsidTr="003E6FB4">
      <w:tc>
        <w:tcPr>
          <w:tcW w:w="2500" w:type="pct"/>
        </w:tcPr>
        <w:p w14:paraId="47EA54D6" w14:textId="3BB4CEB9" w:rsidR="003E6FB4" w:rsidRDefault="00AD21D5" w:rsidP="003E6FB4">
          <w:pPr>
            <w:pStyle w:val="ASDEFCONHeaderFooterLeft"/>
          </w:pPr>
          <w:fldSimple w:instr=" DOCPROPERTY Header_Left ">
            <w:r>
              <w:t>ASDEFCON (Support)</w:t>
            </w:r>
          </w:fldSimple>
        </w:p>
      </w:tc>
      <w:tc>
        <w:tcPr>
          <w:tcW w:w="2500" w:type="pct"/>
        </w:tcPr>
        <w:p w14:paraId="03C562B3" w14:textId="09FAED74" w:rsidR="003E6FB4" w:rsidRDefault="00AD21D5" w:rsidP="003E6FB4">
          <w:pPr>
            <w:pStyle w:val="ASDEFCONHeaderFooterRight"/>
          </w:pPr>
          <w:fldSimple w:instr=" DOCPROPERTY Header_Right ">
            <w:r>
              <w:t>PART 1</w:t>
            </w:r>
          </w:fldSimple>
        </w:p>
      </w:tc>
    </w:tr>
  </w:tbl>
  <w:p w14:paraId="5D714C59" w14:textId="6FFEE628" w:rsidR="0050029A" w:rsidRPr="003E6FB4" w:rsidRDefault="003E6FB4" w:rsidP="00B10547">
    <w:pPr>
      <w:pStyle w:val="ASDEFCONTitle"/>
    </w:pPr>
    <w:r>
      <w:t>ANNEX C TO ATTACHMENT A</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1FF099BC"/>
    <w:lvl w:ilvl="0">
      <w:start w:val="1"/>
      <w:numFmt w:val="decimal"/>
      <w:pStyle w:val="ListNumber2"/>
      <w:lvlText w:val="%1."/>
      <w:lvlJc w:val="left"/>
      <w:pPr>
        <w:tabs>
          <w:tab w:val="num" w:pos="643"/>
        </w:tabs>
        <w:ind w:left="643" w:hanging="360"/>
      </w:pPr>
    </w:lvl>
  </w:abstractNum>
  <w:abstractNum w:abstractNumId="1" w15:restartNumberingAfterBreak="0">
    <w:nsid w:val="FFFFFFFE"/>
    <w:multiLevelType w:val="singleLevel"/>
    <w:tmpl w:val="383826F8"/>
    <w:lvl w:ilvl="0">
      <w:numFmt w:val="decimal"/>
      <w:pStyle w:val="Bullet"/>
      <w:lvlText w:val="*"/>
      <w:lvlJc w:val="left"/>
      <w:rPr>
        <w:rFonts w:cs="Times New Roman"/>
      </w:rPr>
    </w:lvl>
  </w:abstractNum>
  <w:abstractNum w:abstractNumId="2" w15:restartNumberingAfterBreak="0">
    <w:nsid w:val="06CB3B9E"/>
    <w:multiLevelType w:val="multilevel"/>
    <w:tmpl w:val="4A5E8DEC"/>
    <w:lvl w:ilvl="0">
      <w:start w:val="1"/>
      <w:numFmt w:val="none"/>
      <w:pStyle w:val="Table8ptText-ASDEFCON"/>
      <w:lvlText w:val="%1"/>
      <w:lvlJc w:val="left"/>
      <w:pPr>
        <w:tabs>
          <w:tab w:val="num" w:pos="0"/>
        </w:tabs>
        <w:ind w:left="0" w:firstLine="0"/>
      </w:pPr>
      <w:rPr>
        <w:rFonts w:ascii="Arial" w:hAnsi="Arial" w:hint="default"/>
        <w:b w:val="0"/>
        <w:i w:val="0"/>
        <w:sz w:val="16"/>
        <w:szCs w:val="16"/>
      </w:rPr>
    </w:lvl>
    <w:lvl w:ilvl="1">
      <w:start w:val="1"/>
      <w:numFmt w:val="lowerLetter"/>
      <w:pStyle w:val="Table8ptSub1-ASDEFCON"/>
      <w:lvlText w:val="%2."/>
      <w:lvlJc w:val="left"/>
      <w:pPr>
        <w:tabs>
          <w:tab w:val="num" w:pos="284"/>
        </w:tabs>
        <w:ind w:left="284" w:hanging="284"/>
      </w:pPr>
      <w:rPr>
        <w:rFonts w:ascii="Arial" w:hAnsi="Arial" w:hint="default"/>
        <w:b w:val="0"/>
        <w:i w:val="0"/>
      </w:rPr>
    </w:lvl>
    <w:lvl w:ilvl="2">
      <w:start w:val="1"/>
      <w:numFmt w:val="lowerRoman"/>
      <w:pStyle w:val="Table8ptSub2-ASDEFCON"/>
      <w:lvlText w:val="(%3)"/>
      <w:lvlJc w:val="left"/>
      <w:pPr>
        <w:tabs>
          <w:tab w:val="num" w:pos="284"/>
        </w:tabs>
        <w:ind w:left="567" w:hanging="283"/>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3" w15:restartNumberingAfterBreak="0">
    <w:nsid w:val="0C026B33"/>
    <w:multiLevelType w:val="hybridMultilevel"/>
    <w:tmpl w:val="7846B39A"/>
    <w:lvl w:ilvl="0" w:tplc="18303678">
      <w:start w:val="1"/>
      <w:numFmt w:val="bullet"/>
      <w:pStyle w:val="Note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1A46F9B"/>
    <w:multiLevelType w:val="multilevel"/>
    <w:tmpl w:val="B0485F70"/>
    <w:lvl w:ilvl="0">
      <w:start w:val="1"/>
      <w:numFmt w:val="lowerLetter"/>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13FD7603"/>
    <w:multiLevelType w:val="multilevel"/>
    <w:tmpl w:val="41327DDA"/>
    <w:lvl w:ilvl="0">
      <w:start w:val="1"/>
      <w:numFmt w:val="lowerLetter"/>
      <w:pStyle w:val="notepara"/>
      <w:lvlText w:val="%1."/>
      <w:lvlJc w:val="left"/>
      <w:pPr>
        <w:tabs>
          <w:tab w:val="num" w:pos="1440"/>
        </w:tabs>
        <w:ind w:left="1440" w:hanging="533"/>
      </w:pPr>
      <w:rPr>
        <w:rFonts w:ascii="Arial" w:hAnsi="Arial" w:hint="default"/>
        <w:b/>
        <w:i/>
        <w:sz w:val="20"/>
      </w:rPr>
    </w:lvl>
    <w:lvl w:ilvl="1">
      <w:start w:val="1"/>
      <w:numFmt w:val="decimal"/>
      <w:lvlText w:val="%1.%2"/>
      <w:lvlJc w:val="left"/>
      <w:pPr>
        <w:tabs>
          <w:tab w:val="num" w:pos="907"/>
        </w:tabs>
        <w:ind w:left="907" w:hanging="907"/>
      </w:pPr>
    </w:lvl>
    <w:lvl w:ilvl="2">
      <w:start w:val="1"/>
      <w:numFmt w:val="decimal"/>
      <w:lvlText w:val="%1.%2.%3"/>
      <w:lvlJc w:val="left"/>
      <w:pPr>
        <w:tabs>
          <w:tab w:val="num" w:pos="907"/>
        </w:tabs>
        <w:ind w:left="907" w:hanging="907"/>
      </w:pPr>
      <w:rPr>
        <w:rFonts w:ascii="Arial" w:hAnsi="Arial" w:hint="default"/>
        <w:b w:val="0"/>
        <w:i w:val="0"/>
        <w:sz w:val="20"/>
      </w:rPr>
    </w:lvl>
    <w:lvl w:ilvl="3">
      <w:start w:val="1"/>
      <w:numFmt w:val="lowerLetter"/>
      <w:lvlText w:val="%4."/>
      <w:lvlJc w:val="left"/>
      <w:pPr>
        <w:tabs>
          <w:tab w:val="num" w:pos="1440"/>
        </w:tabs>
        <w:ind w:left="1440" w:hanging="533"/>
      </w:pPr>
      <w:rPr>
        <w:rFonts w:ascii="Arial" w:hAnsi="Arial" w:hint="default"/>
        <w:b w:val="0"/>
        <w:i w:val="0"/>
        <w:sz w:val="20"/>
      </w:rPr>
    </w:lvl>
    <w:lvl w:ilvl="4">
      <w:start w:val="1"/>
      <w:numFmt w:val="decimal"/>
      <w:lvlText w:val="%1.%2.%3.%4.%5"/>
      <w:lvlJc w:val="left"/>
      <w:pPr>
        <w:tabs>
          <w:tab w:val="num" w:pos="1440"/>
        </w:tabs>
        <w:ind w:left="1440" w:hanging="1440"/>
      </w:pPr>
    </w:lvl>
    <w:lvl w:ilvl="5">
      <w:start w:val="1"/>
      <w:numFmt w:val="decimal"/>
      <w:lvlText w:val="%1.%2.%3.%4.%5.%6"/>
      <w:lvlJc w:val="left"/>
      <w:pPr>
        <w:tabs>
          <w:tab w:val="num" w:pos="1800"/>
        </w:tabs>
        <w:ind w:left="1440" w:hanging="1440"/>
      </w:pPr>
    </w:lvl>
    <w:lvl w:ilvl="6">
      <w:start w:val="1"/>
      <w:numFmt w:val="decimal"/>
      <w:lvlText w:val="%1.%2.%3.%4.%5.%6.%7"/>
      <w:lvlJc w:val="left"/>
      <w:pPr>
        <w:tabs>
          <w:tab w:val="num" w:pos="2160"/>
        </w:tabs>
        <w:ind w:left="1440" w:hanging="1440"/>
      </w:pPr>
    </w:lvl>
    <w:lvl w:ilvl="7">
      <w:start w:val="1"/>
      <w:numFmt w:val="decimal"/>
      <w:lvlText w:val="%1.%2.%3.%4.%5.%6.%7.%8"/>
      <w:lvlJc w:val="left"/>
      <w:pPr>
        <w:tabs>
          <w:tab w:val="num" w:pos="2520"/>
        </w:tabs>
        <w:ind w:left="1440" w:hanging="1440"/>
      </w:pPr>
    </w:lvl>
    <w:lvl w:ilvl="8">
      <w:start w:val="1"/>
      <w:numFmt w:val="decimal"/>
      <w:lvlText w:val="%1.%2.%3.%4.%5.%6.%7.%8.%9"/>
      <w:lvlJc w:val="left"/>
      <w:pPr>
        <w:tabs>
          <w:tab w:val="num" w:pos="2880"/>
        </w:tabs>
        <w:ind w:left="1440" w:hanging="1440"/>
      </w:pPr>
    </w:lvl>
  </w:abstractNum>
  <w:abstractNum w:abstractNumId="6" w15:restartNumberingAfterBreak="0">
    <w:nsid w:val="1E060C17"/>
    <w:multiLevelType w:val="multilevel"/>
    <w:tmpl w:val="B55E443A"/>
    <w:lvl w:ilvl="0">
      <w:start w:val="1"/>
      <w:numFmt w:val="bullet"/>
      <w:pStyle w:val="Table10ptBP1-ASDEFCON"/>
      <w:lvlText w:val=""/>
      <w:lvlJc w:val="left"/>
      <w:pPr>
        <w:tabs>
          <w:tab w:val="num" w:pos="284"/>
        </w:tabs>
        <w:ind w:left="284" w:hanging="284"/>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bullet"/>
      <w:pStyle w:val="Table10ptBP2-ASDEFCON"/>
      <w:lvlText w:val=""/>
      <w:lvlJc w:val="left"/>
      <w:pPr>
        <w:tabs>
          <w:tab w:val="num" w:pos="567"/>
        </w:tabs>
        <w:ind w:left="567" w:hanging="283"/>
      </w:pPr>
      <w:rPr>
        <w:rFonts w:ascii="Symbol" w:hAnsi="Symbol" w:hint="default"/>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588" w:hanging="73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23215CFF"/>
    <w:multiLevelType w:val="multilevel"/>
    <w:tmpl w:val="BB8425B2"/>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15:restartNumberingAfterBreak="0">
    <w:nsid w:val="239A7F63"/>
    <w:multiLevelType w:val="multilevel"/>
    <w:tmpl w:val="3D4A9058"/>
    <w:lvl w:ilvl="0">
      <w:start w:val="1"/>
      <w:numFmt w:val="decimal"/>
      <w:pStyle w:val="SOWHL1-ASDEFCON"/>
      <w:lvlText w:val="%1."/>
      <w:lvlJc w:val="left"/>
      <w:pPr>
        <w:tabs>
          <w:tab w:val="num" w:pos="1134"/>
        </w:tabs>
        <w:ind w:left="1134" w:hanging="1134"/>
      </w:pPr>
      <w:rPr>
        <w:rFonts w:ascii="Arial" w:hAnsi="Arial" w:hint="default"/>
        <w:b/>
        <w:i w:val="0"/>
        <w:sz w:val="20"/>
      </w:rPr>
    </w:lvl>
    <w:lvl w:ilvl="1">
      <w:start w:val="1"/>
      <w:numFmt w:val="decimal"/>
      <w:pStyle w:val="SOWHL2-ASDEFCON"/>
      <w:lvlText w:val="%1.%2"/>
      <w:lvlJc w:val="left"/>
      <w:pPr>
        <w:tabs>
          <w:tab w:val="num" w:pos="1134"/>
        </w:tabs>
        <w:ind w:left="1134" w:hanging="1134"/>
      </w:pPr>
      <w:rPr>
        <w:rFonts w:ascii="Arial" w:hAnsi="Arial" w:hint="default"/>
        <w:b/>
        <w:i w:val="0"/>
      </w:rPr>
    </w:lvl>
    <w:lvl w:ilvl="2">
      <w:start w:val="1"/>
      <w:numFmt w:val="decimal"/>
      <w:pStyle w:val="SOWHL3-ASDEFCON"/>
      <w:lvlText w:val="%1.%2.%3"/>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3">
      <w:start w:val="1"/>
      <w:numFmt w:val="decimal"/>
      <w:pStyle w:val="SOWHL4-ASDEFCON"/>
      <w:lvlText w:val="%1.%2.%3.%4"/>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4">
      <w:start w:val="1"/>
      <w:numFmt w:val="decimal"/>
      <w:pStyle w:val="SOWHL5-ASDEFCON"/>
      <w:lvlText w:val="%1.%2.%3.%4.%5"/>
      <w:lvlJc w:val="left"/>
      <w:pPr>
        <w:tabs>
          <w:tab w:val="num" w:pos="1134"/>
        </w:tabs>
        <w:ind w:left="1134" w:hanging="1134"/>
      </w:pPr>
      <w:rPr>
        <w:rFonts w:ascii="Arial" w:hAnsi="Arial" w:hint="default"/>
        <w:b/>
        <w:i w:val="0"/>
      </w:rPr>
    </w:lvl>
    <w:lvl w:ilvl="5">
      <w:start w:val="1"/>
      <w:numFmt w:val="lowerLetter"/>
      <w:pStyle w:val="SOWSubL1-ASDEFCON"/>
      <w:lvlText w:val="%6."/>
      <w:lvlJc w:val="left"/>
      <w:pPr>
        <w:tabs>
          <w:tab w:val="num" w:pos="1701"/>
        </w:tabs>
        <w:ind w:left="1701" w:hanging="567"/>
      </w:pPr>
      <w:rPr>
        <w:rFonts w:hint="default"/>
      </w:rPr>
    </w:lvl>
    <w:lvl w:ilvl="6">
      <w:start w:val="1"/>
      <w:numFmt w:val="lowerRoman"/>
      <w:pStyle w:val="SOWSubL2-ASDEFCON"/>
      <w:lvlText w:val="(%7)"/>
      <w:lvlJc w:val="left"/>
      <w:pPr>
        <w:tabs>
          <w:tab w:val="num" w:pos="2268"/>
        </w:tabs>
        <w:ind w:left="2268" w:hanging="567"/>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9" w15:restartNumberingAfterBreak="0">
    <w:nsid w:val="247135B2"/>
    <w:multiLevelType w:val="hybridMultilevel"/>
    <w:tmpl w:val="39C00802"/>
    <w:lvl w:ilvl="0" w:tplc="A70C1458">
      <w:start w:val="1"/>
      <w:numFmt w:val="lowerLetter"/>
      <w:pStyle w:val="Note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0" w15:restartNumberingAfterBreak="0">
    <w:nsid w:val="2573626E"/>
    <w:multiLevelType w:val="multilevel"/>
    <w:tmpl w:val="782839D0"/>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15:restartNumberingAfterBreak="0">
    <w:nsid w:val="2774556E"/>
    <w:multiLevelType w:val="hybridMultilevel"/>
    <w:tmpl w:val="0F708AE0"/>
    <w:lvl w:ilvl="0" w:tplc="6876D876">
      <w:start w:val="1"/>
      <w:numFmt w:val="upperLetter"/>
      <w:pStyle w:val="ASDEFCONRecitals"/>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2" w15:restartNumberingAfterBreak="0">
    <w:nsid w:val="27841F1F"/>
    <w:multiLevelType w:val="hybridMultilevel"/>
    <w:tmpl w:val="E0105F28"/>
    <w:lvl w:ilvl="0" w:tplc="7A5C97BA">
      <w:start w:val="1"/>
      <w:numFmt w:val="bullet"/>
      <w:pStyle w:val="NoteToDrafters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33B1B3A"/>
    <w:multiLevelType w:val="hybridMultilevel"/>
    <w:tmpl w:val="F816EE12"/>
    <w:lvl w:ilvl="0" w:tplc="77B495BA">
      <w:start w:val="1"/>
      <w:numFmt w:val="lowerLetter"/>
      <w:pStyle w:val="NoteToDraft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4" w15:restartNumberingAfterBreak="0">
    <w:nsid w:val="342F3596"/>
    <w:multiLevelType w:val="multilevel"/>
    <w:tmpl w:val="0E5A0002"/>
    <w:lvl w:ilvl="0">
      <w:start w:val="1"/>
      <w:numFmt w:val="bullet"/>
      <w:pStyle w:val="Table8ptBP1-ASDEFCON"/>
      <w:lvlText w:val=""/>
      <w:lvlJc w:val="left"/>
      <w:pPr>
        <w:tabs>
          <w:tab w:val="num" w:pos="284"/>
        </w:tabs>
        <w:ind w:left="284" w:hanging="284"/>
      </w:pPr>
      <w:rPr>
        <w:rFonts w:ascii="Symbol" w:hAnsi="Symbol" w:hint="default"/>
      </w:rPr>
    </w:lvl>
    <w:lvl w:ilvl="1">
      <w:start w:val="1"/>
      <w:numFmt w:val="bullet"/>
      <w:pStyle w:val="Table8ptBP2-ASDEFCON"/>
      <w:lvlText w:val=""/>
      <w:lvlJc w:val="left"/>
      <w:pPr>
        <w:tabs>
          <w:tab w:val="num" w:pos="284"/>
        </w:tabs>
        <w:ind w:left="567" w:hanging="283"/>
      </w:pPr>
      <w:rPr>
        <w:rFonts w:ascii="Symbol" w:hAnsi="Symbol"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5" w15:restartNumberingAfterBreak="0">
    <w:nsid w:val="343C31C6"/>
    <w:multiLevelType w:val="multilevel"/>
    <w:tmpl w:val="766EE828"/>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362E4170"/>
    <w:multiLevelType w:val="multilevel"/>
    <w:tmpl w:val="84CC1628"/>
    <w:lvl w:ilvl="0">
      <w:start w:val="1"/>
      <w:numFmt w:val="decimal"/>
      <w:pStyle w:val="ASDEFCONOperativePartListLV1"/>
      <w:lvlText w:val="%1."/>
      <w:lvlJc w:val="left"/>
      <w:pPr>
        <w:tabs>
          <w:tab w:val="num" w:pos="567"/>
        </w:tabs>
        <w:ind w:left="567"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Letter"/>
      <w:pStyle w:val="ASDEFCONOperativePartListLV2"/>
      <w:lvlText w:val="%2."/>
      <w:lvlJc w:val="left"/>
      <w:pPr>
        <w:tabs>
          <w:tab w:val="num" w:pos="1134"/>
        </w:tabs>
        <w:ind w:left="1134" w:hanging="567"/>
      </w:pPr>
      <w:rPr>
        <w:rFonts w:hint="default"/>
      </w:rPr>
    </w:lvl>
    <w:lvl w:ilvl="2">
      <w:start w:val="1"/>
      <w:numFmt w:val="none"/>
      <w:lvlText w:val=""/>
      <w:lvlJc w:val="left"/>
      <w:pPr>
        <w:tabs>
          <w:tab w:val="num" w:pos="1701"/>
        </w:tabs>
        <w:ind w:left="1701" w:hanging="1701"/>
      </w:pPr>
      <w:rPr>
        <w:rFonts w:hint="default"/>
      </w:rPr>
    </w:lvl>
    <w:lvl w:ilvl="3">
      <w:start w:val="1"/>
      <w:numFmt w:val="lowerLetter"/>
      <w:lvlText w:val="%4."/>
      <w:lvlJc w:val="left"/>
      <w:pPr>
        <w:tabs>
          <w:tab w:val="num" w:pos="2268"/>
        </w:tabs>
        <w:ind w:left="2268" w:hanging="567"/>
      </w:pPr>
      <w:rPr>
        <w:rFonts w:hint="default"/>
      </w:rPr>
    </w:lvl>
    <w:lvl w:ilvl="4">
      <w:start w:val="1"/>
      <w:numFmt w:val="bullet"/>
      <w:lvlText w:val=""/>
      <w:lvlJc w:val="left"/>
      <w:pPr>
        <w:tabs>
          <w:tab w:val="num" w:pos="2835"/>
        </w:tabs>
        <w:ind w:left="2835" w:hanging="567"/>
      </w:pPr>
      <w:rPr>
        <w:rFonts w:ascii="Symbol" w:hAnsi="Symbol"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15:restartNumberingAfterBreak="0">
    <w:nsid w:val="3A2F682E"/>
    <w:multiLevelType w:val="multilevel"/>
    <w:tmpl w:val="83A82ABA"/>
    <w:lvl w:ilvl="0">
      <w:start w:val="1"/>
      <w:numFmt w:val="bullet"/>
      <w:lvlText w:val=""/>
      <w:lvlJc w:val="left"/>
      <w:pPr>
        <w:tabs>
          <w:tab w:val="num" w:pos="2268"/>
        </w:tabs>
        <w:ind w:left="2268" w:hanging="567"/>
      </w:pPr>
      <w:rPr>
        <w:rFonts w:ascii="Symbol" w:hAnsi="Symbol" w:hint="default"/>
        <w:b w:val="0"/>
        <w:bCs w:val="0"/>
        <w:i w:val="0"/>
        <w:iCs w:val="0"/>
        <w:smallCaps w:val="0"/>
        <w:strike w:val="0"/>
        <w:dstrike w:val="0"/>
        <w:vanish w:val="0"/>
        <w:color w:val="auto"/>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pStyle w:val="GuideBullets-ASDEFCON"/>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8" w15:restartNumberingAfterBreak="0">
    <w:nsid w:val="4005385E"/>
    <w:multiLevelType w:val="hybridMultilevel"/>
    <w:tmpl w:val="5B703546"/>
    <w:lvl w:ilvl="0" w:tplc="A69085AC">
      <w:start w:val="1"/>
      <w:numFmt w:val="decimal"/>
      <w:pStyle w:val="ASDEFCONList"/>
      <w:lvlText w:val="%1."/>
      <w:lvlJc w:val="left"/>
      <w:pPr>
        <w:tabs>
          <w:tab w:val="num" w:pos="855"/>
        </w:tabs>
        <w:ind w:left="855" w:hanging="855"/>
      </w:pPr>
      <w:rPr>
        <w:rFonts w:hint="default"/>
      </w:rPr>
    </w:lvl>
    <w:lvl w:ilvl="1" w:tplc="E0022880">
      <w:start w:val="1"/>
      <w:numFmt w:val="lowerLetter"/>
      <w:lvlText w:val="%2."/>
      <w:lvlJc w:val="left"/>
      <w:pPr>
        <w:tabs>
          <w:tab w:val="num" w:pos="855"/>
        </w:tabs>
        <w:ind w:left="855" w:hanging="855"/>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9" w15:restartNumberingAfterBreak="0">
    <w:nsid w:val="40DE429D"/>
    <w:multiLevelType w:val="hybridMultilevel"/>
    <w:tmpl w:val="8E725458"/>
    <w:lvl w:ilvl="0" w:tplc="F8A4397C">
      <w:start w:val="1"/>
      <w:numFmt w:val="bullet"/>
      <w:pStyle w:val="ASDEFCONBulletsLV2"/>
      <w:lvlText w:val=""/>
      <w:lvlJc w:val="left"/>
      <w:pPr>
        <w:tabs>
          <w:tab w:val="num" w:pos="1134"/>
        </w:tabs>
        <w:ind w:left="1134" w:hanging="567"/>
      </w:pPr>
      <w:rPr>
        <w:rFonts w:ascii="Symbol" w:hAnsi="Symbol" w:hint="default"/>
      </w:rPr>
    </w:lvl>
    <w:lvl w:ilvl="1" w:tplc="0C090003" w:tentative="1">
      <w:start w:val="1"/>
      <w:numFmt w:val="bullet"/>
      <w:lvlText w:val="o"/>
      <w:lvlJc w:val="left"/>
      <w:pPr>
        <w:tabs>
          <w:tab w:val="num" w:pos="873"/>
        </w:tabs>
        <w:ind w:left="873" w:hanging="360"/>
      </w:pPr>
      <w:rPr>
        <w:rFonts w:ascii="Courier New" w:hAnsi="Courier New" w:cs="Courier New" w:hint="default"/>
      </w:rPr>
    </w:lvl>
    <w:lvl w:ilvl="2" w:tplc="0C090005" w:tentative="1">
      <w:start w:val="1"/>
      <w:numFmt w:val="bullet"/>
      <w:lvlText w:val=""/>
      <w:lvlJc w:val="left"/>
      <w:pPr>
        <w:tabs>
          <w:tab w:val="num" w:pos="1593"/>
        </w:tabs>
        <w:ind w:left="1593" w:hanging="360"/>
      </w:pPr>
      <w:rPr>
        <w:rFonts w:ascii="Wingdings" w:hAnsi="Wingdings" w:hint="default"/>
      </w:rPr>
    </w:lvl>
    <w:lvl w:ilvl="3" w:tplc="0C090001" w:tentative="1">
      <w:start w:val="1"/>
      <w:numFmt w:val="bullet"/>
      <w:lvlText w:val=""/>
      <w:lvlJc w:val="left"/>
      <w:pPr>
        <w:tabs>
          <w:tab w:val="num" w:pos="2313"/>
        </w:tabs>
        <w:ind w:left="2313" w:hanging="360"/>
      </w:pPr>
      <w:rPr>
        <w:rFonts w:ascii="Symbol" w:hAnsi="Symbol" w:hint="default"/>
      </w:rPr>
    </w:lvl>
    <w:lvl w:ilvl="4" w:tplc="0C090003" w:tentative="1">
      <w:start w:val="1"/>
      <w:numFmt w:val="bullet"/>
      <w:lvlText w:val="o"/>
      <w:lvlJc w:val="left"/>
      <w:pPr>
        <w:tabs>
          <w:tab w:val="num" w:pos="3033"/>
        </w:tabs>
        <w:ind w:left="3033" w:hanging="360"/>
      </w:pPr>
      <w:rPr>
        <w:rFonts w:ascii="Courier New" w:hAnsi="Courier New" w:cs="Courier New" w:hint="default"/>
      </w:rPr>
    </w:lvl>
    <w:lvl w:ilvl="5" w:tplc="0C090005" w:tentative="1">
      <w:start w:val="1"/>
      <w:numFmt w:val="bullet"/>
      <w:lvlText w:val=""/>
      <w:lvlJc w:val="left"/>
      <w:pPr>
        <w:tabs>
          <w:tab w:val="num" w:pos="3753"/>
        </w:tabs>
        <w:ind w:left="3753" w:hanging="360"/>
      </w:pPr>
      <w:rPr>
        <w:rFonts w:ascii="Wingdings" w:hAnsi="Wingdings" w:hint="default"/>
      </w:rPr>
    </w:lvl>
    <w:lvl w:ilvl="6" w:tplc="0C090001" w:tentative="1">
      <w:start w:val="1"/>
      <w:numFmt w:val="bullet"/>
      <w:lvlText w:val=""/>
      <w:lvlJc w:val="left"/>
      <w:pPr>
        <w:tabs>
          <w:tab w:val="num" w:pos="4473"/>
        </w:tabs>
        <w:ind w:left="4473" w:hanging="360"/>
      </w:pPr>
      <w:rPr>
        <w:rFonts w:ascii="Symbol" w:hAnsi="Symbol" w:hint="default"/>
      </w:rPr>
    </w:lvl>
    <w:lvl w:ilvl="7" w:tplc="0C090003" w:tentative="1">
      <w:start w:val="1"/>
      <w:numFmt w:val="bullet"/>
      <w:lvlText w:val="o"/>
      <w:lvlJc w:val="left"/>
      <w:pPr>
        <w:tabs>
          <w:tab w:val="num" w:pos="5193"/>
        </w:tabs>
        <w:ind w:left="5193" w:hanging="360"/>
      </w:pPr>
      <w:rPr>
        <w:rFonts w:ascii="Courier New" w:hAnsi="Courier New" w:cs="Courier New" w:hint="default"/>
      </w:rPr>
    </w:lvl>
    <w:lvl w:ilvl="8" w:tplc="0C090005" w:tentative="1">
      <w:start w:val="1"/>
      <w:numFmt w:val="bullet"/>
      <w:lvlText w:val=""/>
      <w:lvlJc w:val="left"/>
      <w:pPr>
        <w:tabs>
          <w:tab w:val="num" w:pos="5913"/>
        </w:tabs>
        <w:ind w:left="5913" w:hanging="360"/>
      </w:pPr>
      <w:rPr>
        <w:rFonts w:ascii="Wingdings" w:hAnsi="Wingdings" w:hint="default"/>
      </w:rPr>
    </w:lvl>
  </w:abstractNum>
  <w:abstractNum w:abstractNumId="20" w15:restartNumberingAfterBreak="0">
    <w:nsid w:val="417F6DFB"/>
    <w:multiLevelType w:val="hybridMultilevel"/>
    <w:tmpl w:val="920AFFB4"/>
    <w:lvl w:ilvl="0" w:tplc="34589988">
      <w:start w:val="1"/>
      <w:numFmt w:val="lowerLetter"/>
      <w:pStyle w:val="NoteToTender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1" w15:restartNumberingAfterBreak="0">
    <w:nsid w:val="41F64AA6"/>
    <w:multiLevelType w:val="multilevel"/>
    <w:tmpl w:val="F35A72A8"/>
    <w:lvl w:ilvl="0">
      <w:start w:val="1"/>
      <w:numFmt w:val="bullet"/>
      <w:lvlText w:val=""/>
      <w:lvlJc w:val="left"/>
      <w:pPr>
        <w:tabs>
          <w:tab w:val="num" w:pos="284"/>
        </w:tabs>
        <w:ind w:left="284" w:hanging="284"/>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bullet"/>
      <w:lvlText w:val=""/>
      <w:lvlJc w:val="left"/>
      <w:pPr>
        <w:tabs>
          <w:tab w:val="num" w:pos="567"/>
        </w:tabs>
        <w:ind w:left="567" w:hanging="283"/>
      </w:pPr>
      <w:rPr>
        <w:rFonts w:ascii="Symbol" w:hAnsi="Symbol" w:hint="default"/>
      </w:rPr>
    </w:lvl>
    <w:lvl w:ilvl="2">
      <w:start w:val="1"/>
      <w:numFmt w:val="decimal"/>
      <w:lvlText w:val="%1.%2.%3"/>
      <w:lvlJc w:val="left"/>
      <w:pPr>
        <w:tabs>
          <w:tab w:val="num" w:pos="851"/>
        </w:tabs>
        <w:ind w:left="851" w:hanging="851"/>
      </w:pPr>
      <w:rPr>
        <w:rFonts w:hint="default"/>
      </w:rPr>
    </w:lvl>
    <w:lvl w:ilvl="3">
      <w:start w:val="1"/>
      <w:numFmt w:val="bullet"/>
      <w:lvlText w:val=""/>
      <w:lvlJc w:val="left"/>
      <w:pPr>
        <w:tabs>
          <w:tab w:val="num" w:pos="1418"/>
        </w:tabs>
        <w:ind w:left="1588" w:hanging="737"/>
      </w:pPr>
      <w:rPr>
        <w:rFonts w:ascii="Symbol" w:hAnsi="Symbol"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2" w15:restartNumberingAfterBreak="0">
    <w:nsid w:val="48B46098"/>
    <w:multiLevelType w:val="singleLevel"/>
    <w:tmpl w:val="9620EEC2"/>
    <w:lvl w:ilvl="0">
      <w:start w:val="1"/>
      <w:numFmt w:val="bullet"/>
      <w:pStyle w:val="Bullet2"/>
      <w:lvlText w:val=""/>
      <w:lvlJc w:val="left"/>
      <w:pPr>
        <w:tabs>
          <w:tab w:val="num" w:pos="2160"/>
        </w:tabs>
        <w:ind w:left="2160" w:hanging="720"/>
      </w:pPr>
      <w:rPr>
        <w:rFonts w:ascii="Symbol" w:hAnsi="Symbol" w:hint="default"/>
      </w:rPr>
    </w:lvl>
  </w:abstractNum>
  <w:abstractNum w:abstractNumId="23" w15:restartNumberingAfterBreak="0">
    <w:nsid w:val="4C383F8D"/>
    <w:multiLevelType w:val="multilevel"/>
    <w:tmpl w:val="45486EF2"/>
    <w:lvl w:ilvl="0">
      <w:start w:val="1"/>
      <w:numFmt w:val="none"/>
      <w:pStyle w:val="Table10ptText-ASDEFCON"/>
      <w:lvlText w:val=""/>
      <w:lvlJc w:val="left"/>
      <w:pPr>
        <w:tabs>
          <w:tab w:val="num" w:pos="0"/>
        </w:tabs>
        <w:ind w:left="0" w:firstLine="0"/>
      </w:pPr>
      <w:rPr>
        <w:rFonts w:ascii="Arial" w:hAnsi="Arial" w:hint="default"/>
        <w:b w:val="0"/>
        <w:i w:val="0"/>
        <w:sz w:val="20"/>
        <w:szCs w:val="20"/>
      </w:rPr>
    </w:lvl>
    <w:lvl w:ilvl="1">
      <w:start w:val="1"/>
      <w:numFmt w:val="lowerLetter"/>
      <w:pStyle w:val="Table10ptSub1-ASDEFCON"/>
      <w:lvlText w:val="%2."/>
      <w:lvlJc w:val="left"/>
      <w:pPr>
        <w:tabs>
          <w:tab w:val="num" w:pos="284"/>
        </w:tabs>
        <w:ind w:left="284" w:hanging="284"/>
      </w:pPr>
      <w:rPr>
        <w:rFonts w:ascii="Arial" w:hAnsi="Arial" w:hint="default"/>
        <w:b w:val="0"/>
        <w:i w:val="0"/>
      </w:rPr>
    </w:lvl>
    <w:lvl w:ilvl="2">
      <w:start w:val="1"/>
      <w:numFmt w:val="lowerRoman"/>
      <w:pStyle w:val="Table10ptSub2-ASDEFCON"/>
      <w:lvlText w:val="(%3)"/>
      <w:lvlJc w:val="left"/>
      <w:pPr>
        <w:tabs>
          <w:tab w:val="num" w:pos="567"/>
        </w:tabs>
        <w:ind w:left="567" w:hanging="283"/>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24" w15:restartNumberingAfterBreak="0">
    <w:nsid w:val="4FD319C4"/>
    <w:multiLevelType w:val="multilevel"/>
    <w:tmpl w:val="CFD83E02"/>
    <w:name w:val="DMO - NumList A"/>
    <w:lvl w:ilvl="0">
      <w:start w:val="1"/>
      <w:numFmt w:val="decimal"/>
      <w:lvlText w:val="%1"/>
      <w:lvlJc w:val="left"/>
      <w:pPr>
        <w:tabs>
          <w:tab w:val="num" w:pos="851"/>
        </w:tabs>
        <w:ind w:left="851" w:hanging="851"/>
      </w:pPr>
      <w:rPr>
        <w:rFonts w:ascii="Arial" w:hAnsi="Arial" w:hint="default"/>
        <w:b/>
        <w:i w:val="0"/>
        <w:sz w:val="20"/>
      </w:rPr>
    </w:lvl>
    <w:lvl w:ilvl="1">
      <w:start w:val="1"/>
      <w:numFmt w:val="decimal"/>
      <w:lvlText w:val="%1.%2"/>
      <w:lvlJc w:val="left"/>
      <w:pPr>
        <w:tabs>
          <w:tab w:val="num" w:pos="851"/>
        </w:tabs>
        <w:ind w:left="851" w:hanging="851"/>
      </w:pPr>
      <w:rPr>
        <w:rFonts w:ascii="Arial" w:hAnsi="Arial" w:hint="default"/>
        <w:b/>
        <w:i w:val="0"/>
        <w:sz w:val="20"/>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418" w:hanging="56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0"/>
        </w:tabs>
        <w:ind w:left="5760" w:hanging="360"/>
      </w:pPr>
      <w:rPr>
        <w:rFonts w:hint="default"/>
      </w:rPr>
    </w:lvl>
    <w:lvl w:ilvl="7">
      <w:start w:val="1"/>
      <w:numFmt w:val="lowerLetter"/>
      <w:lvlText w:val="%8."/>
      <w:lvlJc w:val="left"/>
      <w:pPr>
        <w:tabs>
          <w:tab w:val="num" w:pos="0"/>
        </w:tabs>
        <w:ind w:left="6120" w:hanging="360"/>
      </w:pPr>
      <w:rPr>
        <w:rFonts w:hint="default"/>
      </w:rPr>
    </w:lvl>
    <w:lvl w:ilvl="8">
      <w:start w:val="1"/>
      <w:numFmt w:val="lowerRoman"/>
      <w:lvlText w:val="%9."/>
      <w:lvlJc w:val="left"/>
      <w:pPr>
        <w:tabs>
          <w:tab w:val="num" w:pos="0"/>
        </w:tabs>
        <w:ind w:left="6480" w:hanging="360"/>
      </w:pPr>
      <w:rPr>
        <w:rFonts w:hint="default"/>
      </w:rPr>
    </w:lvl>
  </w:abstractNum>
  <w:abstractNum w:abstractNumId="25" w15:restartNumberingAfterBreak="0">
    <w:nsid w:val="4FEA168B"/>
    <w:multiLevelType w:val="multilevel"/>
    <w:tmpl w:val="9B8A811C"/>
    <w:lvl w:ilvl="0">
      <w:start w:val="1"/>
      <w:numFmt w:val="decimal"/>
      <w:lvlText w:val="%1."/>
      <w:lvlJc w:val="left"/>
      <w:pPr>
        <w:tabs>
          <w:tab w:val="num" w:pos="907"/>
        </w:tabs>
        <w:ind w:left="907" w:hanging="907"/>
      </w:pPr>
    </w:lvl>
    <w:lvl w:ilvl="1">
      <w:start w:val="1"/>
      <w:numFmt w:val="decimal"/>
      <w:lvlText w:val="%1.%2"/>
      <w:lvlJc w:val="left"/>
      <w:pPr>
        <w:tabs>
          <w:tab w:val="num" w:pos="907"/>
        </w:tabs>
        <w:ind w:left="907" w:hanging="907"/>
      </w:pPr>
      <w:rPr>
        <w:b w:val="0"/>
        <w:i w:val="0"/>
      </w:rPr>
    </w:lvl>
    <w:lvl w:ilvl="2">
      <w:start w:val="1"/>
      <w:numFmt w:val="decimal"/>
      <w:pStyle w:val="TextLevel3"/>
      <w:lvlText w:val="%1.%2.%3"/>
      <w:lvlJc w:val="left"/>
      <w:pPr>
        <w:tabs>
          <w:tab w:val="num" w:pos="907"/>
        </w:tabs>
        <w:ind w:left="907" w:hanging="907"/>
      </w:pPr>
      <w:rPr>
        <w:rFonts w:ascii="Arial" w:hAnsi="Arial" w:hint="default"/>
        <w:b w:val="0"/>
        <w:i w:val="0"/>
        <w:sz w:val="20"/>
      </w:rPr>
    </w:lvl>
    <w:lvl w:ilvl="3">
      <w:start w:val="1"/>
      <w:numFmt w:val="lowerLetter"/>
      <w:lvlText w:val="%4."/>
      <w:lvlJc w:val="left"/>
      <w:pPr>
        <w:tabs>
          <w:tab w:val="num" w:pos="1440"/>
        </w:tabs>
        <w:ind w:left="1440" w:hanging="533"/>
      </w:pPr>
      <w:rPr>
        <w:rFonts w:ascii="Arial" w:hAnsi="Arial" w:hint="default"/>
        <w:b w:val="0"/>
        <w:i w:val="0"/>
        <w:sz w:val="20"/>
      </w:rPr>
    </w:lvl>
    <w:lvl w:ilvl="4">
      <w:start w:val="1"/>
      <w:numFmt w:val="decimal"/>
      <w:lvlText w:val="%1.%2.%3.%4.%5"/>
      <w:lvlJc w:val="left"/>
      <w:pPr>
        <w:tabs>
          <w:tab w:val="num" w:pos="1440"/>
        </w:tabs>
        <w:ind w:left="1440" w:hanging="1440"/>
      </w:pPr>
    </w:lvl>
    <w:lvl w:ilvl="5">
      <w:start w:val="1"/>
      <w:numFmt w:val="decimal"/>
      <w:lvlText w:val="%1.%2.%3.%4.%5.%6"/>
      <w:lvlJc w:val="left"/>
      <w:pPr>
        <w:tabs>
          <w:tab w:val="num" w:pos="1800"/>
        </w:tabs>
        <w:ind w:left="1440" w:hanging="1440"/>
      </w:pPr>
    </w:lvl>
    <w:lvl w:ilvl="6">
      <w:start w:val="1"/>
      <w:numFmt w:val="decimal"/>
      <w:lvlText w:val="%1.%2.%3.%4.%5.%6.%7"/>
      <w:lvlJc w:val="left"/>
      <w:pPr>
        <w:tabs>
          <w:tab w:val="num" w:pos="2160"/>
        </w:tabs>
        <w:ind w:left="1440" w:hanging="1440"/>
      </w:pPr>
    </w:lvl>
    <w:lvl w:ilvl="7">
      <w:start w:val="1"/>
      <w:numFmt w:val="decimal"/>
      <w:lvlText w:val="%1.%2.%3.%4.%5.%6.%7.%8"/>
      <w:lvlJc w:val="left"/>
      <w:pPr>
        <w:tabs>
          <w:tab w:val="num" w:pos="2520"/>
        </w:tabs>
        <w:ind w:left="1440" w:hanging="1440"/>
      </w:pPr>
    </w:lvl>
    <w:lvl w:ilvl="8">
      <w:start w:val="1"/>
      <w:numFmt w:val="decimal"/>
      <w:pStyle w:val="TextLevel5"/>
      <w:lvlText w:val="%1.%2.%3.%4.%5.%6.%7.%8.%9"/>
      <w:lvlJc w:val="left"/>
      <w:pPr>
        <w:tabs>
          <w:tab w:val="num" w:pos="2880"/>
        </w:tabs>
        <w:ind w:left="1440" w:hanging="1440"/>
      </w:pPr>
    </w:lvl>
  </w:abstractNum>
  <w:abstractNum w:abstractNumId="26" w15:restartNumberingAfterBreak="0">
    <w:nsid w:val="519F7B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15:restartNumberingAfterBreak="0">
    <w:nsid w:val="531E78F4"/>
    <w:multiLevelType w:val="multilevel"/>
    <w:tmpl w:val="FACC064A"/>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134"/>
        </w:tabs>
        <w:ind w:left="1134" w:hanging="1134"/>
      </w:pPr>
      <w:rPr>
        <w:rFonts w:hint="default"/>
      </w:rPr>
    </w:lvl>
    <w:lvl w:ilvl="4">
      <w:start w:val="1"/>
      <w:numFmt w:val="decimal"/>
      <w:pStyle w:val="Heading5"/>
      <w:lvlText w:val="%1.%2.%3.%4.%5"/>
      <w:lvlJc w:val="left"/>
      <w:pPr>
        <w:tabs>
          <w:tab w:val="num" w:pos="1440"/>
        </w:tabs>
        <w:ind w:left="1440" w:hanging="1440"/>
      </w:pPr>
      <w:rPr>
        <w:rFonts w:hint="default"/>
      </w:rPr>
    </w:lvl>
    <w:lvl w:ilvl="5">
      <w:start w:val="1"/>
      <w:numFmt w:val="decimal"/>
      <w:pStyle w:val="Heading6"/>
      <w:lvlText w:val="%1.%2.%3.%4.%5.%6"/>
      <w:lvlJc w:val="left"/>
      <w:pPr>
        <w:tabs>
          <w:tab w:val="num" w:pos="1800"/>
        </w:tabs>
        <w:ind w:left="1440" w:hanging="1440"/>
      </w:pPr>
      <w:rPr>
        <w:rFonts w:hint="default"/>
      </w:rPr>
    </w:lvl>
    <w:lvl w:ilvl="6">
      <w:start w:val="1"/>
      <w:numFmt w:val="decimal"/>
      <w:pStyle w:val="Heading7"/>
      <w:lvlText w:val="%1.%2.%3.%4.%5.%6.%7"/>
      <w:lvlJc w:val="left"/>
      <w:pPr>
        <w:tabs>
          <w:tab w:val="num" w:pos="2160"/>
        </w:tabs>
        <w:ind w:left="1440" w:hanging="1440"/>
      </w:pPr>
      <w:rPr>
        <w:rFonts w:hint="default"/>
      </w:rPr>
    </w:lvl>
    <w:lvl w:ilvl="7">
      <w:start w:val="1"/>
      <w:numFmt w:val="decimal"/>
      <w:pStyle w:val="Heading8"/>
      <w:lvlText w:val="%1.%2.%3.%4.%5.%6.%7.%8"/>
      <w:lvlJc w:val="left"/>
      <w:pPr>
        <w:tabs>
          <w:tab w:val="num" w:pos="2520"/>
        </w:tabs>
        <w:ind w:left="1440" w:hanging="1440"/>
      </w:pPr>
      <w:rPr>
        <w:rFonts w:hint="default"/>
      </w:rPr>
    </w:lvl>
    <w:lvl w:ilvl="8">
      <w:start w:val="1"/>
      <w:numFmt w:val="decimal"/>
      <w:pStyle w:val="Heading9"/>
      <w:lvlText w:val="%1.%2.%3.%4.%5.%6.%7.%8.%9"/>
      <w:lvlJc w:val="left"/>
      <w:pPr>
        <w:tabs>
          <w:tab w:val="num" w:pos="2880"/>
        </w:tabs>
        <w:ind w:left="1440" w:hanging="1440"/>
      </w:pPr>
      <w:rPr>
        <w:rFonts w:hint="default"/>
      </w:rPr>
    </w:lvl>
  </w:abstractNum>
  <w:abstractNum w:abstractNumId="28" w15:restartNumberingAfterBreak="0">
    <w:nsid w:val="535828C6"/>
    <w:multiLevelType w:val="multilevel"/>
    <w:tmpl w:val="83D860D8"/>
    <w:lvl w:ilvl="0">
      <w:start w:val="1"/>
      <w:numFmt w:val="upperRoman"/>
      <w:pStyle w:val="Heading1"/>
      <w:lvlText w:val="Article %1."/>
      <w:lvlJc w:val="left"/>
      <w:pPr>
        <w:tabs>
          <w:tab w:val="num" w:pos="4680"/>
        </w:tabs>
        <w:ind w:left="0" w:firstLine="0"/>
      </w:pPr>
    </w:lvl>
    <w:lvl w:ilvl="1">
      <w:start w:val="1"/>
      <w:numFmt w:val="decimalZero"/>
      <w:isLgl/>
      <w:lvlText w:val="Section %1.%2"/>
      <w:lvlJc w:val="left"/>
      <w:pPr>
        <w:tabs>
          <w:tab w:val="num" w:pos="5760"/>
        </w:tabs>
        <w:ind w:left="0" w:firstLine="0"/>
      </w:pPr>
    </w:lvl>
    <w:lvl w:ilvl="2">
      <w:start w:val="1"/>
      <w:numFmt w:val="lowerLetter"/>
      <w:lvlText w:val="(%3)"/>
      <w:lvlJc w:val="left"/>
      <w:pPr>
        <w:tabs>
          <w:tab w:val="num" w:pos="172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656"/>
        </w:tabs>
        <w:ind w:left="1008" w:hanging="432"/>
      </w:pPr>
    </w:lvl>
    <w:lvl w:ilvl="5">
      <w:start w:val="1"/>
      <w:numFmt w:val="lowerLetter"/>
      <w:lvlText w:val="%6)"/>
      <w:lvlJc w:val="left"/>
      <w:pPr>
        <w:tabs>
          <w:tab w:val="num" w:pos="1800"/>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2088"/>
        </w:tabs>
        <w:ind w:left="1440" w:hanging="432"/>
      </w:pPr>
    </w:lvl>
    <w:lvl w:ilvl="8">
      <w:start w:val="1"/>
      <w:numFmt w:val="lowerRoman"/>
      <w:lvlText w:val="%9."/>
      <w:lvlJc w:val="right"/>
      <w:pPr>
        <w:tabs>
          <w:tab w:val="num" w:pos="1584"/>
        </w:tabs>
        <w:ind w:left="1584" w:hanging="144"/>
      </w:pPr>
    </w:lvl>
  </w:abstractNum>
  <w:abstractNum w:abstractNumId="29" w15:restartNumberingAfterBreak="0">
    <w:nsid w:val="57755E04"/>
    <w:multiLevelType w:val="multilevel"/>
    <w:tmpl w:val="E668AC42"/>
    <w:lvl w:ilvl="0">
      <w:start w:val="1"/>
      <w:numFmt w:val="lowerLetter"/>
      <w:lvlText w:val="%1."/>
      <w:lvlJc w:val="left"/>
      <w:pPr>
        <w:tabs>
          <w:tab w:val="num" w:pos="1701"/>
        </w:tabs>
        <w:ind w:left="1701" w:hanging="567"/>
      </w:pPr>
      <w:rPr>
        <w:rFonts w:hint="default"/>
      </w:rPr>
    </w:lvl>
    <w:lvl w:ilvl="1">
      <w:start w:val="1"/>
      <w:numFmt w:val="lowerRoman"/>
      <w:lvlText w:val="(%2)"/>
      <w:lvlJc w:val="left"/>
      <w:pPr>
        <w:tabs>
          <w:tab w:val="num" w:pos="2268"/>
        </w:tabs>
        <w:ind w:left="2268"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0" w15:restartNumberingAfterBreak="0">
    <w:nsid w:val="5818494A"/>
    <w:multiLevelType w:val="hybridMultilevel"/>
    <w:tmpl w:val="5552A7A6"/>
    <w:lvl w:ilvl="0" w:tplc="1F683590">
      <w:start w:val="1"/>
      <w:numFmt w:val="decimal"/>
      <w:lvlText w:val="%1."/>
      <w:lvlJc w:val="left"/>
      <w:pPr>
        <w:tabs>
          <w:tab w:val="num" w:pos="851"/>
        </w:tabs>
        <w:ind w:left="851" w:hanging="851"/>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1" w15:restartNumberingAfterBreak="0">
    <w:nsid w:val="5DFA14E0"/>
    <w:multiLevelType w:val="multilevel"/>
    <w:tmpl w:val="41A82F8C"/>
    <w:lvl w:ilvl="0">
      <w:start w:val="1"/>
      <w:numFmt w:val="lowerLetter"/>
      <w:lvlText w:val="%1."/>
      <w:lvlJc w:val="left"/>
      <w:pPr>
        <w:tabs>
          <w:tab w:val="num" w:pos="855"/>
        </w:tabs>
        <w:ind w:left="855" w:hanging="855"/>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626A5A02"/>
    <w:multiLevelType w:val="hybridMultilevel"/>
    <w:tmpl w:val="9606EFEC"/>
    <w:lvl w:ilvl="0" w:tplc="FE9C4642">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3" w15:restartNumberingAfterBreak="0">
    <w:nsid w:val="64B8248A"/>
    <w:multiLevelType w:val="multilevel"/>
    <w:tmpl w:val="4FAE3C44"/>
    <w:lvl w:ilvl="0">
      <w:start w:val="1"/>
      <w:numFmt w:val="decimal"/>
      <w:pStyle w:val="COTCOC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COTCOCLV2-ASDEFCON"/>
      <w:lvlText w:val="%1.%2"/>
      <w:lvlJc w:val="left"/>
      <w:pPr>
        <w:tabs>
          <w:tab w:val="num" w:pos="851"/>
        </w:tabs>
        <w:ind w:left="851" w:hanging="851"/>
      </w:pPr>
      <w:rPr>
        <w:rFonts w:hint="default"/>
      </w:rPr>
    </w:lvl>
    <w:lvl w:ilvl="2">
      <w:start w:val="1"/>
      <w:numFmt w:val="decimal"/>
      <w:pStyle w:val="COTCOCLV3-ASDEFCON"/>
      <w:lvlText w:val="%1.%2.%3"/>
      <w:lvlJc w:val="left"/>
      <w:pPr>
        <w:tabs>
          <w:tab w:val="num" w:pos="851"/>
        </w:tabs>
        <w:ind w:left="851" w:hanging="851"/>
      </w:pPr>
      <w:rPr>
        <w:rFonts w:hint="default"/>
      </w:rPr>
    </w:lvl>
    <w:lvl w:ilvl="3">
      <w:start w:val="1"/>
      <w:numFmt w:val="lowerLetter"/>
      <w:pStyle w:val="COTCOCLV4-ASDEFCON"/>
      <w:lvlText w:val="%4."/>
      <w:lvlJc w:val="left"/>
      <w:pPr>
        <w:tabs>
          <w:tab w:val="num" w:pos="1418"/>
        </w:tabs>
        <w:ind w:left="1418" w:hanging="567"/>
      </w:pPr>
      <w:rPr>
        <w:rFonts w:hint="default"/>
      </w:rPr>
    </w:lvl>
    <w:lvl w:ilvl="4">
      <w:start w:val="1"/>
      <w:numFmt w:val="lowerRoman"/>
      <w:pStyle w:val="COTCOCLV5-ASDEFCON"/>
      <w:lvlText w:val="(%5)"/>
      <w:lvlJc w:val="left"/>
      <w:pPr>
        <w:tabs>
          <w:tab w:val="num" w:pos="1985"/>
        </w:tabs>
        <w:ind w:left="1985" w:hanging="567"/>
      </w:pPr>
      <w:rPr>
        <w:rFonts w:hint="default"/>
      </w:rPr>
    </w:lvl>
    <w:lvl w:ilvl="5">
      <w:start w:val="1"/>
      <w:numFmt w:val="decimal"/>
      <w:pStyle w:val="COTCOCLV6-ASDEFCON"/>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4" w15:restartNumberingAfterBreak="0">
    <w:nsid w:val="67D81068"/>
    <w:multiLevelType w:val="hybridMultilevel"/>
    <w:tmpl w:val="7BE0CB70"/>
    <w:lvl w:ilvl="0" w:tplc="35B6E120">
      <w:start w:val="1"/>
      <w:numFmt w:val="lowerLetter"/>
      <w:pStyle w:val="ASDEFCONSublist"/>
      <w:lvlText w:val="%1."/>
      <w:lvlJc w:val="left"/>
      <w:pPr>
        <w:tabs>
          <w:tab w:val="num" w:pos="855"/>
        </w:tabs>
        <w:ind w:left="855" w:hanging="855"/>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5" w15:restartNumberingAfterBreak="0">
    <w:nsid w:val="69A8193E"/>
    <w:multiLevelType w:val="hybridMultilevel"/>
    <w:tmpl w:val="AC4C8A1A"/>
    <w:lvl w:ilvl="0" w:tplc="F8DE1AEA">
      <w:start w:val="1"/>
      <w:numFmt w:val="bullet"/>
      <w:pStyle w:val="NoteToTenderersBullets-ASDEFCON"/>
      <w:lvlText w:val=""/>
      <w:lvlJc w:val="left"/>
      <w:pPr>
        <w:tabs>
          <w:tab w:val="num" w:pos="851"/>
        </w:tabs>
        <w:ind w:left="851" w:hanging="851"/>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6A2B5475"/>
    <w:multiLevelType w:val="multilevel"/>
    <w:tmpl w:val="6B20236A"/>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7" w15:restartNumberingAfterBreak="0">
    <w:nsid w:val="6A371BD7"/>
    <w:multiLevelType w:val="multilevel"/>
    <w:tmpl w:val="ECEA8AB2"/>
    <w:lvl w:ilvl="0">
      <w:start w:val="1"/>
      <w:numFmt w:val="lowerLetter"/>
      <w:pStyle w:val="GuideSublistLv1-ASDEFCON"/>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Roman"/>
      <w:pStyle w:val="GuideSublistLv2-ASDEFCON"/>
      <w:lvlText w:val="(%2)"/>
      <w:lvlJc w:val="left"/>
      <w:pPr>
        <w:tabs>
          <w:tab w:val="num" w:pos="2835"/>
        </w:tabs>
        <w:ind w:left="2835" w:hanging="567"/>
      </w:pPr>
      <w:rPr>
        <w:rFonts w:hint="default"/>
      </w:rPr>
    </w:lvl>
    <w:lvl w:ilvl="2">
      <w:start w:val="1"/>
      <w:numFmt w:val="none"/>
      <w:lvlText w:val=""/>
      <w:lvlJc w:val="left"/>
      <w:pPr>
        <w:tabs>
          <w:tab w:val="num" w:pos="2835"/>
        </w:tabs>
        <w:ind w:left="2835" w:hanging="567"/>
      </w:pPr>
      <w:rPr>
        <w:rFonts w:hint="default"/>
      </w:rPr>
    </w:lvl>
    <w:lvl w:ilvl="3">
      <w:start w:val="1"/>
      <w:numFmt w:val="none"/>
      <w:lvlText w:val="%4."/>
      <w:lvlJc w:val="left"/>
      <w:pPr>
        <w:tabs>
          <w:tab w:val="num" w:pos="2835"/>
        </w:tabs>
        <w:ind w:left="2835" w:hanging="567"/>
      </w:pPr>
      <w:rPr>
        <w:rFonts w:hint="default"/>
      </w:rPr>
    </w:lvl>
    <w:lvl w:ilvl="4">
      <w:start w:val="1"/>
      <w:numFmt w:val="none"/>
      <w:lvlText w:val="%5."/>
      <w:lvlJc w:val="left"/>
      <w:pPr>
        <w:tabs>
          <w:tab w:val="num" w:pos="2835"/>
        </w:tabs>
        <w:ind w:left="2835"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8" w15:restartNumberingAfterBreak="0">
    <w:nsid w:val="719F1F3F"/>
    <w:multiLevelType w:val="multilevel"/>
    <w:tmpl w:val="A88C79CA"/>
    <w:lvl w:ilvl="0">
      <w:start w:val="1"/>
      <w:numFmt w:val="decimal"/>
      <w:pStyle w:val="ATTANN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ATTANNLV2-ASDEFCON"/>
      <w:lvlText w:val="%1.%2"/>
      <w:lvlJc w:val="left"/>
      <w:pPr>
        <w:tabs>
          <w:tab w:val="num" w:pos="851"/>
        </w:tabs>
        <w:ind w:left="851" w:hanging="851"/>
      </w:pPr>
      <w:rPr>
        <w:rFonts w:hint="default"/>
      </w:rPr>
    </w:lvl>
    <w:lvl w:ilvl="2">
      <w:start w:val="1"/>
      <w:numFmt w:val="lowerLetter"/>
      <w:pStyle w:val="ATTANNLV3-ASDEFCON"/>
      <w:lvlText w:val="%3."/>
      <w:lvlJc w:val="left"/>
      <w:pPr>
        <w:tabs>
          <w:tab w:val="num" w:pos="1418"/>
        </w:tabs>
        <w:ind w:left="1418" w:hanging="567"/>
      </w:pPr>
      <w:rPr>
        <w:rFonts w:hint="default"/>
      </w:rPr>
    </w:lvl>
    <w:lvl w:ilvl="3">
      <w:start w:val="1"/>
      <w:numFmt w:val="lowerRoman"/>
      <w:pStyle w:val="ATTANNLV4-ASDEFCON"/>
      <w:lvlText w:val="(%4)"/>
      <w:lvlJc w:val="left"/>
      <w:pPr>
        <w:tabs>
          <w:tab w:val="num" w:pos="1985"/>
        </w:tabs>
        <w:ind w:left="1985" w:hanging="567"/>
      </w:pPr>
      <w:rPr>
        <w:rFonts w:hint="default"/>
      </w:rPr>
    </w:lvl>
    <w:lvl w:ilvl="4">
      <w:start w:val="1"/>
      <w:numFmt w:val="none"/>
      <w:lvlText w:val=""/>
      <w:lvlJc w:val="left"/>
      <w:pPr>
        <w:tabs>
          <w:tab w:val="num" w:pos="1985"/>
        </w:tabs>
        <w:ind w:left="2268" w:hanging="2268"/>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9" w15:restartNumberingAfterBreak="0">
    <w:nsid w:val="7810495E"/>
    <w:multiLevelType w:val="singleLevel"/>
    <w:tmpl w:val="90CA269C"/>
    <w:lvl w:ilvl="0">
      <w:start w:val="1"/>
      <w:numFmt w:val="lowerLetter"/>
      <w:pStyle w:val="TablePara"/>
      <w:lvlText w:val="%1."/>
      <w:lvlJc w:val="left"/>
      <w:pPr>
        <w:tabs>
          <w:tab w:val="num" w:pos="720"/>
        </w:tabs>
        <w:ind w:left="720" w:hanging="720"/>
      </w:pPr>
      <w:rPr>
        <w:rFonts w:cs="Times New Roman" w:hint="default"/>
      </w:rPr>
    </w:lvl>
  </w:abstractNum>
  <w:abstractNum w:abstractNumId="40" w15:restartNumberingAfterBreak="0">
    <w:nsid w:val="78897D63"/>
    <w:multiLevelType w:val="hybridMultilevel"/>
    <w:tmpl w:val="F444840C"/>
    <w:lvl w:ilvl="0" w:tplc="680878EC">
      <w:start w:val="1"/>
      <w:numFmt w:val="upperLetter"/>
      <w:pStyle w:val="ATTANNListTableofContents-ASDEFCON"/>
      <w:lvlText w:val="%1."/>
      <w:lvlJc w:val="left"/>
      <w:pPr>
        <w:tabs>
          <w:tab w:val="num" w:pos="397"/>
        </w:tabs>
        <w:ind w:left="397" w:hanging="39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41" w15:restartNumberingAfterBreak="0">
    <w:nsid w:val="7AC82A9E"/>
    <w:multiLevelType w:val="multilevel"/>
    <w:tmpl w:val="B2529974"/>
    <w:styleLink w:val="Level"/>
    <w:lvl w:ilvl="0">
      <w:start w:val="1"/>
      <w:numFmt w:val="lowerRoman"/>
      <w:lvlText w:val="(%1)"/>
      <w:lvlJc w:val="left"/>
      <w:pPr>
        <w:ind w:left="3600" w:hanging="360"/>
      </w:pPr>
      <w:rPr>
        <w:rFonts w:hint="default"/>
      </w:rPr>
    </w:lvl>
    <w:lvl w:ilvl="1">
      <w:start w:val="1"/>
      <w:numFmt w:val="decimal"/>
      <w:lvlText w:val="%1.%2"/>
      <w:lvlJc w:val="left"/>
      <w:pPr>
        <w:ind w:left="4320" w:hanging="360"/>
      </w:pPr>
      <w:rPr>
        <w:rFonts w:hint="default"/>
      </w:rPr>
    </w:lvl>
    <w:lvl w:ilvl="2">
      <w:start w:val="1"/>
      <w:numFmt w:val="lowerLetter"/>
      <w:lvlText w:val="%3."/>
      <w:lvlJc w:val="left"/>
      <w:pPr>
        <w:ind w:left="4320" w:hanging="360"/>
      </w:pPr>
      <w:rPr>
        <w:rFonts w:hint="default"/>
      </w:rPr>
    </w:lvl>
    <w:lvl w:ilvl="3">
      <w:start w:val="1"/>
      <w:numFmt w:val="lowerRoman"/>
      <w:lvlText w:val="(%4)"/>
      <w:lvlJc w:val="left"/>
      <w:pPr>
        <w:ind w:left="4680" w:hanging="360"/>
      </w:pPr>
      <w:rPr>
        <w:rFonts w:hint="default"/>
      </w:rPr>
    </w:lvl>
    <w:lvl w:ilvl="4">
      <w:start w:val="1"/>
      <w:numFmt w:val="lowerLetter"/>
      <w:lvlText w:val="(%5)"/>
      <w:lvlJc w:val="left"/>
      <w:pPr>
        <w:ind w:left="5040" w:hanging="360"/>
      </w:pPr>
      <w:rPr>
        <w:rFonts w:hint="default"/>
      </w:rPr>
    </w:lvl>
    <w:lvl w:ilvl="5">
      <w:start w:val="1"/>
      <w:numFmt w:val="lowerRoman"/>
      <w:lvlText w:val="(%6)"/>
      <w:lvlJc w:val="left"/>
      <w:pPr>
        <w:ind w:left="5400" w:hanging="36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120" w:hanging="360"/>
      </w:pPr>
      <w:rPr>
        <w:rFonts w:hint="default"/>
      </w:rPr>
    </w:lvl>
    <w:lvl w:ilvl="8">
      <w:start w:val="1"/>
      <w:numFmt w:val="lowerRoman"/>
      <w:lvlText w:val="%9."/>
      <w:lvlJc w:val="left"/>
      <w:pPr>
        <w:ind w:left="6480" w:hanging="360"/>
      </w:pPr>
      <w:rPr>
        <w:rFonts w:hint="default"/>
      </w:rPr>
    </w:lvl>
  </w:abstractNum>
  <w:abstractNum w:abstractNumId="42" w15:restartNumberingAfterBreak="0">
    <w:nsid w:val="7B801EAB"/>
    <w:multiLevelType w:val="multilevel"/>
    <w:tmpl w:val="56EAD9E0"/>
    <w:lvl w:ilvl="0">
      <w:start w:val="1"/>
      <w:numFmt w:val="bullet"/>
      <w:lvlText w:val=""/>
      <w:lvlJc w:val="left"/>
      <w:pPr>
        <w:tabs>
          <w:tab w:val="num" w:pos="3402"/>
        </w:tabs>
        <w:ind w:left="3402"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3" w15:restartNumberingAfterBreak="0">
    <w:nsid w:val="7E1127D5"/>
    <w:multiLevelType w:val="hybridMultilevel"/>
    <w:tmpl w:val="9CD4DA70"/>
    <w:lvl w:ilvl="0" w:tplc="A3C8ADA6">
      <w:start w:val="1"/>
      <w:numFmt w:val="bullet"/>
      <w:pStyle w:val="ASDEFCONBulletsLV1"/>
      <w:lvlText w:val=""/>
      <w:lvlJc w:val="left"/>
      <w:pPr>
        <w:tabs>
          <w:tab w:val="num" w:pos="567"/>
        </w:tabs>
        <w:ind w:left="567" w:hanging="567"/>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9"/>
  </w:num>
  <w:num w:numId="3">
    <w:abstractNumId w:val="27"/>
  </w:num>
  <w:num w:numId="4">
    <w:abstractNumId w:val="5"/>
  </w:num>
  <w:num w:numId="5">
    <w:abstractNumId w:val="41"/>
  </w:num>
  <w:num w:numId="6">
    <w:abstractNumId w:val="8"/>
  </w:num>
  <w:num w:numId="7">
    <w:abstractNumId w:val="39"/>
  </w:num>
  <w:num w:numId="8">
    <w:abstractNumId w:val="33"/>
  </w:num>
  <w:num w:numId="9">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2"/>
  </w:num>
  <w:num w:numId="11">
    <w:abstractNumId w:val="13"/>
  </w:num>
  <w:num w:numId="12">
    <w:abstractNumId w:val="35"/>
  </w:num>
  <w:num w:numId="13">
    <w:abstractNumId w:val="20"/>
  </w:num>
  <w:num w:numId="14">
    <w:abstractNumId w:val="40"/>
  </w:num>
  <w:num w:numId="15">
    <w:abstractNumId w:val="14"/>
  </w:num>
  <w:num w:numId="16">
    <w:abstractNumId w:val="17"/>
  </w:num>
  <w:num w:numId="17">
    <w:abstractNumId w:val="43"/>
  </w:num>
  <w:num w:numId="18">
    <w:abstractNumId w:val="11"/>
  </w:num>
  <w:num w:numId="19">
    <w:abstractNumId w:val="9"/>
  </w:num>
  <w:num w:numId="20">
    <w:abstractNumId w:val="3"/>
  </w:num>
  <w:num w:numId="21">
    <w:abstractNumId w:val="6"/>
  </w:num>
  <w:num w:numId="22">
    <w:abstractNumId w:val="16"/>
  </w:num>
  <w:num w:numId="23">
    <w:abstractNumId w:val="2"/>
  </w:num>
  <w:num w:numId="24">
    <w:abstractNumId w:val="23"/>
  </w:num>
  <w:num w:numId="25">
    <w:abstractNumId w:val="37"/>
  </w:num>
  <w:num w:numId="26">
    <w:abstractNumId w:val="34"/>
  </w:num>
  <w:num w:numId="27">
    <w:abstractNumId w:val="18"/>
  </w:num>
  <w:num w:numId="28">
    <w:abstractNumId w:val="21"/>
  </w:num>
  <w:num w:numId="29">
    <w:abstractNumId w:val="25"/>
  </w:num>
  <w:num w:numId="30">
    <w:abstractNumId w:val="22"/>
  </w:num>
  <w:num w:numId="31">
    <w:abstractNumId w:val="38"/>
  </w:num>
  <w:num w:numId="3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8"/>
  </w:num>
  <w:num w:numId="35">
    <w:abstractNumId w:val="36"/>
  </w:num>
  <w:num w:numId="36">
    <w:abstractNumId w:val="7"/>
  </w:num>
  <w:num w:numId="37">
    <w:abstractNumId w:val="42"/>
  </w:num>
  <w:num w:numId="38">
    <w:abstractNumId w:val="15"/>
  </w:num>
  <w:num w:numId="39">
    <w:abstractNumId w:val="26"/>
  </w:num>
  <w:num w:numId="40">
    <w:abstractNumId w:val="10"/>
  </w:num>
  <w:num w:numId="41">
    <w:abstractNumId w:val="4"/>
  </w:num>
  <w:num w:numId="42">
    <w:abstractNumId w:val="30"/>
  </w:num>
  <w:num w:numId="43">
    <w:abstractNumId w:val="31"/>
  </w:num>
  <w:num w:numId="44">
    <w:abstractNumId w:val="1"/>
    <w:lvlOverride w:ilvl="0">
      <w:lvl w:ilvl="0">
        <w:start w:val="1"/>
        <w:numFmt w:val="bullet"/>
        <w:pStyle w:val="Bullet"/>
        <w:lvlText w:val=""/>
        <w:lvlJc w:val="left"/>
        <w:pPr>
          <w:tabs>
            <w:tab w:val="num" w:pos="720"/>
          </w:tabs>
          <w:ind w:left="720" w:hanging="720"/>
        </w:pPr>
        <w:rPr>
          <w:rFonts w:ascii="Symbol" w:hAnsi="Symbol" w:hint="default"/>
        </w:rPr>
      </w:lvl>
    </w:lvlOverride>
  </w:num>
  <w:num w:numId="45">
    <w:abstractNumId w:val="1"/>
    <w:lvlOverride w:ilvl="0">
      <w:lvl w:ilvl="0">
        <w:start w:val="1"/>
        <w:numFmt w:val="bullet"/>
        <w:pStyle w:val="Bullet"/>
        <w:lvlText w:val=""/>
        <w:lvlJc w:val="left"/>
        <w:pPr>
          <w:tabs>
            <w:tab w:val="num" w:pos="720"/>
          </w:tabs>
          <w:ind w:left="720" w:hanging="720"/>
        </w:pPr>
        <w:rPr>
          <w:rFonts w:ascii="Symbol" w:hAnsi="Symbol" w:hint="default"/>
        </w:rPr>
      </w:lvl>
    </w:lvlOverride>
  </w:num>
  <w:num w:numId="46">
    <w:abstractNumId w:val="1"/>
    <w:lvlOverride w:ilvl="0">
      <w:lvl w:ilvl="0">
        <w:start w:val="1"/>
        <w:numFmt w:val="bullet"/>
        <w:pStyle w:val="Bullet"/>
        <w:lvlText w:val=""/>
        <w:lvlJc w:val="left"/>
        <w:pPr>
          <w:tabs>
            <w:tab w:val="num" w:pos="720"/>
          </w:tabs>
          <w:ind w:left="720" w:hanging="720"/>
        </w:pPr>
        <w:rPr>
          <w:rFonts w:ascii="Symbol" w:hAnsi="Symbol" w:hint="default"/>
        </w:rPr>
      </w:lvl>
    </w:lvlOverride>
  </w:num>
  <w:num w:numId="47">
    <w:abstractNumId w:val="1"/>
    <w:lvlOverride w:ilvl="0">
      <w:lvl w:ilvl="0">
        <w:start w:val="1"/>
        <w:numFmt w:val="bullet"/>
        <w:pStyle w:val="Bullet"/>
        <w:lvlText w:val=""/>
        <w:lvlJc w:val="left"/>
        <w:pPr>
          <w:tabs>
            <w:tab w:val="num" w:pos="720"/>
          </w:tabs>
          <w:ind w:left="720" w:hanging="720"/>
        </w:pPr>
        <w:rPr>
          <w:rFonts w:ascii="Symbol" w:hAnsi="Symbol" w:hint="default"/>
        </w:rPr>
      </w:lvl>
    </w:lvlOverride>
  </w:num>
  <w:num w:numId="48">
    <w:abstractNumId w:val="32"/>
  </w:num>
  <w:num w:numId="49">
    <w:abstractNumId w:val="1"/>
    <w:lvlOverride w:ilvl="0">
      <w:lvl w:ilvl="0">
        <w:start w:val="1"/>
        <w:numFmt w:val="bullet"/>
        <w:pStyle w:val="Bullet"/>
        <w:lvlText w:val=""/>
        <w:lvlJc w:val="left"/>
        <w:pPr>
          <w:tabs>
            <w:tab w:val="num" w:pos="720"/>
          </w:tabs>
          <w:ind w:left="720" w:hanging="720"/>
        </w:pPr>
        <w:rPr>
          <w:rFonts w:ascii="Symbol" w:hAnsi="Symbol" w:hint="default"/>
        </w:rPr>
      </w:lvl>
    </w:lvlOverride>
  </w:num>
  <w:num w:numId="50">
    <w:abstractNumId w:val="1"/>
    <w:lvlOverride w:ilvl="0">
      <w:lvl w:ilvl="0">
        <w:start w:val="1"/>
        <w:numFmt w:val="bullet"/>
        <w:pStyle w:val="Bullet"/>
        <w:lvlText w:val=""/>
        <w:lvlJc w:val="left"/>
        <w:pPr>
          <w:tabs>
            <w:tab w:val="num" w:pos="720"/>
          </w:tabs>
          <w:ind w:left="720" w:hanging="720"/>
        </w:pPr>
        <w:rPr>
          <w:rFonts w:ascii="Symbol" w:hAnsi="Symbol" w:hint="default"/>
        </w:rPr>
      </w:lvl>
    </w:lvlOverride>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AU" w:vendorID="8" w:dllVersion="513" w:checkStyle="1"/>
  <w:activeWritingStyle w:appName="MSWord" w:lang="en-GB" w:vendorID="8" w:dllVersion="513" w:checkStyle="1"/>
  <w:activeWritingStyle w:appName="MSWord" w:lang="en-US" w:vendorID="8" w:dllVersion="513" w:checkStyle="1"/>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UFooterText" w:val="L\314738829.1"/>
  </w:docVars>
  <w:rsids>
    <w:rsidRoot w:val="00865F69"/>
    <w:rsid w:val="000067A1"/>
    <w:rsid w:val="0001155C"/>
    <w:rsid w:val="00025713"/>
    <w:rsid w:val="00040F04"/>
    <w:rsid w:val="00041E35"/>
    <w:rsid w:val="00053869"/>
    <w:rsid w:val="00061686"/>
    <w:rsid w:val="00067424"/>
    <w:rsid w:val="0006746F"/>
    <w:rsid w:val="00071CFF"/>
    <w:rsid w:val="00073F2C"/>
    <w:rsid w:val="000754CC"/>
    <w:rsid w:val="00075945"/>
    <w:rsid w:val="000779FB"/>
    <w:rsid w:val="00096494"/>
    <w:rsid w:val="000B2776"/>
    <w:rsid w:val="000C1EEF"/>
    <w:rsid w:val="000D2314"/>
    <w:rsid w:val="000D39A5"/>
    <w:rsid w:val="000D3A04"/>
    <w:rsid w:val="000D3FE5"/>
    <w:rsid w:val="000D55B3"/>
    <w:rsid w:val="000E0194"/>
    <w:rsid w:val="000F67FF"/>
    <w:rsid w:val="001065C5"/>
    <w:rsid w:val="00115A65"/>
    <w:rsid w:val="0011679B"/>
    <w:rsid w:val="001311AC"/>
    <w:rsid w:val="00132E71"/>
    <w:rsid w:val="0013428F"/>
    <w:rsid w:val="00142F09"/>
    <w:rsid w:val="001436FA"/>
    <w:rsid w:val="00143BB3"/>
    <w:rsid w:val="0014584B"/>
    <w:rsid w:val="00151215"/>
    <w:rsid w:val="001545A0"/>
    <w:rsid w:val="00156F53"/>
    <w:rsid w:val="00163E9D"/>
    <w:rsid w:val="00164A55"/>
    <w:rsid w:val="0017380C"/>
    <w:rsid w:val="00180D1E"/>
    <w:rsid w:val="00186E53"/>
    <w:rsid w:val="0019341B"/>
    <w:rsid w:val="001964B8"/>
    <w:rsid w:val="001A146C"/>
    <w:rsid w:val="001B2970"/>
    <w:rsid w:val="001B4984"/>
    <w:rsid w:val="001B57BA"/>
    <w:rsid w:val="001B65A3"/>
    <w:rsid w:val="001C0E1D"/>
    <w:rsid w:val="001C2D8D"/>
    <w:rsid w:val="001C3850"/>
    <w:rsid w:val="001D08F0"/>
    <w:rsid w:val="001D1E23"/>
    <w:rsid w:val="001D3805"/>
    <w:rsid w:val="001D5335"/>
    <w:rsid w:val="001D6CC8"/>
    <w:rsid w:val="001F2783"/>
    <w:rsid w:val="001F7A76"/>
    <w:rsid w:val="002014D2"/>
    <w:rsid w:val="00216FE5"/>
    <w:rsid w:val="00222D01"/>
    <w:rsid w:val="00234441"/>
    <w:rsid w:val="00243C2D"/>
    <w:rsid w:val="00243E05"/>
    <w:rsid w:val="002556A3"/>
    <w:rsid w:val="00257D68"/>
    <w:rsid w:val="00263868"/>
    <w:rsid w:val="00266288"/>
    <w:rsid w:val="00272828"/>
    <w:rsid w:val="00272C5C"/>
    <w:rsid w:val="00275577"/>
    <w:rsid w:val="002803CF"/>
    <w:rsid w:val="0028622B"/>
    <w:rsid w:val="002A4F46"/>
    <w:rsid w:val="002B2860"/>
    <w:rsid w:val="002C368A"/>
    <w:rsid w:val="002D047F"/>
    <w:rsid w:val="002D731A"/>
    <w:rsid w:val="002E129F"/>
    <w:rsid w:val="002F16B1"/>
    <w:rsid w:val="002F181E"/>
    <w:rsid w:val="002F2E1C"/>
    <w:rsid w:val="002F6FE1"/>
    <w:rsid w:val="0030380D"/>
    <w:rsid w:val="00303DE9"/>
    <w:rsid w:val="00303E64"/>
    <w:rsid w:val="00305202"/>
    <w:rsid w:val="00306BD1"/>
    <w:rsid w:val="00312571"/>
    <w:rsid w:val="00315CCB"/>
    <w:rsid w:val="00317790"/>
    <w:rsid w:val="0032038E"/>
    <w:rsid w:val="00320FF5"/>
    <w:rsid w:val="003260E4"/>
    <w:rsid w:val="003358C1"/>
    <w:rsid w:val="00336BFC"/>
    <w:rsid w:val="0033750C"/>
    <w:rsid w:val="00337683"/>
    <w:rsid w:val="00342638"/>
    <w:rsid w:val="00342F02"/>
    <w:rsid w:val="00345E4F"/>
    <w:rsid w:val="003501F2"/>
    <w:rsid w:val="00354479"/>
    <w:rsid w:val="003606D4"/>
    <w:rsid w:val="00360E04"/>
    <w:rsid w:val="0036234C"/>
    <w:rsid w:val="003863F6"/>
    <w:rsid w:val="00386924"/>
    <w:rsid w:val="003967CD"/>
    <w:rsid w:val="003A1363"/>
    <w:rsid w:val="003A2021"/>
    <w:rsid w:val="003A37BE"/>
    <w:rsid w:val="003A3D63"/>
    <w:rsid w:val="003A56A6"/>
    <w:rsid w:val="003A600E"/>
    <w:rsid w:val="003A6F51"/>
    <w:rsid w:val="003B1A8F"/>
    <w:rsid w:val="003B2060"/>
    <w:rsid w:val="003B3A32"/>
    <w:rsid w:val="003B5C4F"/>
    <w:rsid w:val="003C1AED"/>
    <w:rsid w:val="003C3B99"/>
    <w:rsid w:val="003C756F"/>
    <w:rsid w:val="003D065B"/>
    <w:rsid w:val="003D0F9D"/>
    <w:rsid w:val="003D1DEF"/>
    <w:rsid w:val="003D5499"/>
    <w:rsid w:val="003E2B2F"/>
    <w:rsid w:val="003E56EF"/>
    <w:rsid w:val="003E6FB4"/>
    <w:rsid w:val="003E71F2"/>
    <w:rsid w:val="003E727C"/>
    <w:rsid w:val="003F2B27"/>
    <w:rsid w:val="003F3049"/>
    <w:rsid w:val="004004FA"/>
    <w:rsid w:val="0040610D"/>
    <w:rsid w:val="00407F39"/>
    <w:rsid w:val="00411D4C"/>
    <w:rsid w:val="004121AE"/>
    <w:rsid w:val="0041256E"/>
    <w:rsid w:val="0041675F"/>
    <w:rsid w:val="004217FB"/>
    <w:rsid w:val="00423181"/>
    <w:rsid w:val="004251A6"/>
    <w:rsid w:val="004319BF"/>
    <w:rsid w:val="0043215E"/>
    <w:rsid w:val="00436F6F"/>
    <w:rsid w:val="00441517"/>
    <w:rsid w:val="00441EE7"/>
    <w:rsid w:val="004449EE"/>
    <w:rsid w:val="00453659"/>
    <w:rsid w:val="004542D4"/>
    <w:rsid w:val="0045555E"/>
    <w:rsid w:val="00462BEA"/>
    <w:rsid w:val="0046531B"/>
    <w:rsid w:val="00470971"/>
    <w:rsid w:val="00472912"/>
    <w:rsid w:val="00490150"/>
    <w:rsid w:val="00490E45"/>
    <w:rsid w:val="00490EEB"/>
    <w:rsid w:val="004947F6"/>
    <w:rsid w:val="00496285"/>
    <w:rsid w:val="0049638F"/>
    <w:rsid w:val="004A626B"/>
    <w:rsid w:val="004A7B67"/>
    <w:rsid w:val="004B3E91"/>
    <w:rsid w:val="004B476D"/>
    <w:rsid w:val="004B7000"/>
    <w:rsid w:val="004C23BF"/>
    <w:rsid w:val="004D25CF"/>
    <w:rsid w:val="004D4BE0"/>
    <w:rsid w:val="004D5379"/>
    <w:rsid w:val="004E0590"/>
    <w:rsid w:val="004E3E15"/>
    <w:rsid w:val="004F2CCF"/>
    <w:rsid w:val="004F6869"/>
    <w:rsid w:val="0050029A"/>
    <w:rsid w:val="005004F7"/>
    <w:rsid w:val="005007BC"/>
    <w:rsid w:val="00511B0E"/>
    <w:rsid w:val="00511B4E"/>
    <w:rsid w:val="00512ED6"/>
    <w:rsid w:val="00514555"/>
    <w:rsid w:val="0051596F"/>
    <w:rsid w:val="0052187B"/>
    <w:rsid w:val="00532BEE"/>
    <w:rsid w:val="005334F9"/>
    <w:rsid w:val="00534821"/>
    <w:rsid w:val="00541A66"/>
    <w:rsid w:val="005511BF"/>
    <w:rsid w:val="0055652B"/>
    <w:rsid w:val="00561EF6"/>
    <w:rsid w:val="005626D4"/>
    <w:rsid w:val="005759DC"/>
    <w:rsid w:val="00577A9E"/>
    <w:rsid w:val="00582837"/>
    <w:rsid w:val="005864B0"/>
    <w:rsid w:val="00587255"/>
    <w:rsid w:val="00587E5C"/>
    <w:rsid w:val="00592BE0"/>
    <w:rsid w:val="005934B3"/>
    <w:rsid w:val="005A1253"/>
    <w:rsid w:val="005B1BB3"/>
    <w:rsid w:val="005D3911"/>
    <w:rsid w:val="005E57B3"/>
    <w:rsid w:val="005F1B4E"/>
    <w:rsid w:val="00604C77"/>
    <w:rsid w:val="00605AE7"/>
    <w:rsid w:val="00607839"/>
    <w:rsid w:val="00607E46"/>
    <w:rsid w:val="006158F1"/>
    <w:rsid w:val="0061741B"/>
    <w:rsid w:val="0062151A"/>
    <w:rsid w:val="00621B4A"/>
    <w:rsid w:val="00622C4D"/>
    <w:rsid w:val="00635865"/>
    <w:rsid w:val="00636D01"/>
    <w:rsid w:val="00643081"/>
    <w:rsid w:val="00647E73"/>
    <w:rsid w:val="0065008B"/>
    <w:rsid w:val="0065787C"/>
    <w:rsid w:val="00660530"/>
    <w:rsid w:val="00666FE4"/>
    <w:rsid w:val="00681CC5"/>
    <w:rsid w:val="00682C69"/>
    <w:rsid w:val="00684015"/>
    <w:rsid w:val="0068717F"/>
    <w:rsid w:val="00692404"/>
    <w:rsid w:val="00693370"/>
    <w:rsid w:val="006935E3"/>
    <w:rsid w:val="00693BD9"/>
    <w:rsid w:val="006949A8"/>
    <w:rsid w:val="00694ADD"/>
    <w:rsid w:val="006A1903"/>
    <w:rsid w:val="006B1972"/>
    <w:rsid w:val="006B1F4E"/>
    <w:rsid w:val="006B5215"/>
    <w:rsid w:val="006C02F0"/>
    <w:rsid w:val="006E1444"/>
    <w:rsid w:val="00702BF3"/>
    <w:rsid w:val="00703819"/>
    <w:rsid w:val="00712C24"/>
    <w:rsid w:val="007161CE"/>
    <w:rsid w:val="00716308"/>
    <w:rsid w:val="0072255B"/>
    <w:rsid w:val="00724B34"/>
    <w:rsid w:val="00725D84"/>
    <w:rsid w:val="00726C3F"/>
    <w:rsid w:val="00726E2E"/>
    <w:rsid w:val="00732F04"/>
    <w:rsid w:val="00737606"/>
    <w:rsid w:val="00740175"/>
    <w:rsid w:val="00740703"/>
    <w:rsid w:val="0074471C"/>
    <w:rsid w:val="00756309"/>
    <w:rsid w:val="00763C5D"/>
    <w:rsid w:val="00777293"/>
    <w:rsid w:val="00780660"/>
    <w:rsid w:val="007919B5"/>
    <w:rsid w:val="00792F30"/>
    <w:rsid w:val="007955A4"/>
    <w:rsid w:val="00796592"/>
    <w:rsid w:val="007A366A"/>
    <w:rsid w:val="007A3EC5"/>
    <w:rsid w:val="007A693F"/>
    <w:rsid w:val="007B0718"/>
    <w:rsid w:val="007B0DCE"/>
    <w:rsid w:val="007B51C3"/>
    <w:rsid w:val="007C0EA3"/>
    <w:rsid w:val="007C3FED"/>
    <w:rsid w:val="007D2FDC"/>
    <w:rsid w:val="007D3313"/>
    <w:rsid w:val="007D4157"/>
    <w:rsid w:val="007D42F6"/>
    <w:rsid w:val="007E26E2"/>
    <w:rsid w:val="007E3F6A"/>
    <w:rsid w:val="007F5395"/>
    <w:rsid w:val="0080701C"/>
    <w:rsid w:val="00821070"/>
    <w:rsid w:val="00821254"/>
    <w:rsid w:val="00826AD4"/>
    <w:rsid w:val="0083643F"/>
    <w:rsid w:val="0084488B"/>
    <w:rsid w:val="00846BBC"/>
    <w:rsid w:val="00856E34"/>
    <w:rsid w:val="0086300E"/>
    <w:rsid w:val="00865F69"/>
    <w:rsid w:val="00866059"/>
    <w:rsid w:val="00874C73"/>
    <w:rsid w:val="0088499C"/>
    <w:rsid w:val="0089773A"/>
    <w:rsid w:val="008A4FED"/>
    <w:rsid w:val="008C16D7"/>
    <w:rsid w:val="008C182E"/>
    <w:rsid w:val="008C3543"/>
    <w:rsid w:val="008C63CD"/>
    <w:rsid w:val="008C759C"/>
    <w:rsid w:val="008E7D5B"/>
    <w:rsid w:val="008F2760"/>
    <w:rsid w:val="008F2836"/>
    <w:rsid w:val="008F6B95"/>
    <w:rsid w:val="00901A91"/>
    <w:rsid w:val="00906A2E"/>
    <w:rsid w:val="0091107E"/>
    <w:rsid w:val="0091159A"/>
    <w:rsid w:val="00932EA1"/>
    <w:rsid w:val="009342D0"/>
    <w:rsid w:val="0093454D"/>
    <w:rsid w:val="009407ED"/>
    <w:rsid w:val="0095270E"/>
    <w:rsid w:val="00952956"/>
    <w:rsid w:val="009537A4"/>
    <w:rsid w:val="00955305"/>
    <w:rsid w:val="0095565D"/>
    <w:rsid w:val="00962679"/>
    <w:rsid w:val="00964786"/>
    <w:rsid w:val="00975616"/>
    <w:rsid w:val="0098387B"/>
    <w:rsid w:val="0098592F"/>
    <w:rsid w:val="009872B0"/>
    <w:rsid w:val="00993923"/>
    <w:rsid w:val="009A092D"/>
    <w:rsid w:val="009A09FF"/>
    <w:rsid w:val="009A18A8"/>
    <w:rsid w:val="009A4976"/>
    <w:rsid w:val="009A7ED5"/>
    <w:rsid w:val="009B6978"/>
    <w:rsid w:val="009C0285"/>
    <w:rsid w:val="009C0BDE"/>
    <w:rsid w:val="009C6BF9"/>
    <w:rsid w:val="009D0847"/>
    <w:rsid w:val="009D1157"/>
    <w:rsid w:val="009D2CC4"/>
    <w:rsid w:val="009D64CA"/>
    <w:rsid w:val="009D794B"/>
    <w:rsid w:val="009E7706"/>
    <w:rsid w:val="009F077A"/>
    <w:rsid w:val="009F4374"/>
    <w:rsid w:val="009F523F"/>
    <w:rsid w:val="009F6547"/>
    <w:rsid w:val="00A02615"/>
    <w:rsid w:val="00A042B8"/>
    <w:rsid w:val="00A04990"/>
    <w:rsid w:val="00A07425"/>
    <w:rsid w:val="00A10ED4"/>
    <w:rsid w:val="00A1103F"/>
    <w:rsid w:val="00A129B2"/>
    <w:rsid w:val="00A17820"/>
    <w:rsid w:val="00A2032C"/>
    <w:rsid w:val="00A30E5A"/>
    <w:rsid w:val="00A332FD"/>
    <w:rsid w:val="00A336CF"/>
    <w:rsid w:val="00A37453"/>
    <w:rsid w:val="00A42161"/>
    <w:rsid w:val="00A56826"/>
    <w:rsid w:val="00A56F99"/>
    <w:rsid w:val="00A67335"/>
    <w:rsid w:val="00A67888"/>
    <w:rsid w:val="00A74495"/>
    <w:rsid w:val="00A76D8B"/>
    <w:rsid w:val="00A81532"/>
    <w:rsid w:val="00A829DD"/>
    <w:rsid w:val="00A82D4D"/>
    <w:rsid w:val="00A84A72"/>
    <w:rsid w:val="00AA4D20"/>
    <w:rsid w:val="00AB2EAC"/>
    <w:rsid w:val="00AB3B33"/>
    <w:rsid w:val="00AB51BD"/>
    <w:rsid w:val="00AB6628"/>
    <w:rsid w:val="00AC181C"/>
    <w:rsid w:val="00AD21D5"/>
    <w:rsid w:val="00AD24C7"/>
    <w:rsid w:val="00AD2C24"/>
    <w:rsid w:val="00AE1E6F"/>
    <w:rsid w:val="00AE7E6B"/>
    <w:rsid w:val="00AF1297"/>
    <w:rsid w:val="00AF2430"/>
    <w:rsid w:val="00AF7299"/>
    <w:rsid w:val="00B03867"/>
    <w:rsid w:val="00B078DB"/>
    <w:rsid w:val="00B10547"/>
    <w:rsid w:val="00B138FE"/>
    <w:rsid w:val="00B13D92"/>
    <w:rsid w:val="00B1429E"/>
    <w:rsid w:val="00B14AD1"/>
    <w:rsid w:val="00B14C51"/>
    <w:rsid w:val="00B17470"/>
    <w:rsid w:val="00B2476A"/>
    <w:rsid w:val="00B33438"/>
    <w:rsid w:val="00B37E2E"/>
    <w:rsid w:val="00B44947"/>
    <w:rsid w:val="00B4566B"/>
    <w:rsid w:val="00B45ABD"/>
    <w:rsid w:val="00B503FF"/>
    <w:rsid w:val="00B510C2"/>
    <w:rsid w:val="00B5410F"/>
    <w:rsid w:val="00B55DB3"/>
    <w:rsid w:val="00B573B0"/>
    <w:rsid w:val="00B610B0"/>
    <w:rsid w:val="00B8644A"/>
    <w:rsid w:val="00B86A7B"/>
    <w:rsid w:val="00B901A0"/>
    <w:rsid w:val="00B9031B"/>
    <w:rsid w:val="00B913BF"/>
    <w:rsid w:val="00BA095B"/>
    <w:rsid w:val="00BA1126"/>
    <w:rsid w:val="00BA68F2"/>
    <w:rsid w:val="00BB0E5F"/>
    <w:rsid w:val="00BB4FFE"/>
    <w:rsid w:val="00BB6347"/>
    <w:rsid w:val="00BB64DD"/>
    <w:rsid w:val="00BC3C1C"/>
    <w:rsid w:val="00BC50C0"/>
    <w:rsid w:val="00BD2033"/>
    <w:rsid w:val="00BD3323"/>
    <w:rsid w:val="00BE3C42"/>
    <w:rsid w:val="00BE7E0A"/>
    <w:rsid w:val="00BF049B"/>
    <w:rsid w:val="00BF0BB2"/>
    <w:rsid w:val="00BF610C"/>
    <w:rsid w:val="00BF6718"/>
    <w:rsid w:val="00C01BDD"/>
    <w:rsid w:val="00C044B1"/>
    <w:rsid w:val="00C04547"/>
    <w:rsid w:val="00C07D90"/>
    <w:rsid w:val="00C13855"/>
    <w:rsid w:val="00C22B78"/>
    <w:rsid w:val="00C25DD4"/>
    <w:rsid w:val="00C25FD6"/>
    <w:rsid w:val="00C3034F"/>
    <w:rsid w:val="00C33ABA"/>
    <w:rsid w:val="00C40228"/>
    <w:rsid w:val="00C416EA"/>
    <w:rsid w:val="00C4334E"/>
    <w:rsid w:val="00C43FDD"/>
    <w:rsid w:val="00C45F70"/>
    <w:rsid w:val="00C463FA"/>
    <w:rsid w:val="00C53236"/>
    <w:rsid w:val="00C57924"/>
    <w:rsid w:val="00C609D9"/>
    <w:rsid w:val="00C60B58"/>
    <w:rsid w:val="00C76926"/>
    <w:rsid w:val="00C812C0"/>
    <w:rsid w:val="00CA23DC"/>
    <w:rsid w:val="00CB16D0"/>
    <w:rsid w:val="00CB39BF"/>
    <w:rsid w:val="00CB6AA5"/>
    <w:rsid w:val="00CB6BC1"/>
    <w:rsid w:val="00CC0B4F"/>
    <w:rsid w:val="00CC13C0"/>
    <w:rsid w:val="00CC2A46"/>
    <w:rsid w:val="00CC4BCF"/>
    <w:rsid w:val="00CC5B00"/>
    <w:rsid w:val="00CD4CAE"/>
    <w:rsid w:val="00CE01D5"/>
    <w:rsid w:val="00CE0F4C"/>
    <w:rsid w:val="00CE2610"/>
    <w:rsid w:val="00CF2D63"/>
    <w:rsid w:val="00CF43CA"/>
    <w:rsid w:val="00CF6AAB"/>
    <w:rsid w:val="00D01988"/>
    <w:rsid w:val="00D03565"/>
    <w:rsid w:val="00D05256"/>
    <w:rsid w:val="00D1365D"/>
    <w:rsid w:val="00D2195B"/>
    <w:rsid w:val="00D252CE"/>
    <w:rsid w:val="00D35214"/>
    <w:rsid w:val="00D40EDA"/>
    <w:rsid w:val="00D41A10"/>
    <w:rsid w:val="00D421D8"/>
    <w:rsid w:val="00D45439"/>
    <w:rsid w:val="00D47DE6"/>
    <w:rsid w:val="00D54925"/>
    <w:rsid w:val="00D57B82"/>
    <w:rsid w:val="00D808D9"/>
    <w:rsid w:val="00D8395A"/>
    <w:rsid w:val="00D87DB5"/>
    <w:rsid w:val="00D95841"/>
    <w:rsid w:val="00D95E4A"/>
    <w:rsid w:val="00D96C15"/>
    <w:rsid w:val="00DA0B93"/>
    <w:rsid w:val="00DA7A18"/>
    <w:rsid w:val="00DB57EC"/>
    <w:rsid w:val="00DB7BF7"/>
    <w:rsid w:val="00DC08BA"/>
    <w:rsid w:val="00DD3135"/>
    <w:rsid w:val="00DE286E"/>
    <w:rsid w:val="00DF582E"/>
    <w:rsid w:val="00DF5ACA"/>
    <w:rsid w:val="00DF5BE2"/>
    <w:rsid w:val="00E01F94"/>
    <w:rsid w:val="00E03DB8"/>
    <w:rsid w:val="00E12517"/>
    <w:rsid w:val="00E17CEB"/>
    <w:rsid w:val="00E24860"/>
    <w:rsid w:val="00E27956"/>
    <w:rsid w:val="00E3265D"/>
    <w:rsid w:val="00E32A2B"/>
    <w:rsid w:val="00E34BA7"/>
    <w:rsid w:val="00E37EC4"/>
    <w:rsid w:val="00E44AAB"/>
    <w:rsid w:val="00E463A3"/>
    <w:rsid w:val="00E53F2E"/>
    <w:rsid w:val="00E559A0"/>
    <w:rsid w:val="00E6014B"/>
    <w:rsid w:val="00E609BA"/>
    <w:rsid w:val="00E65FD8"/>
    <w:rsid w:val="00E7056B"/>
    <w:rsid w:val="00E73AAC"/>
    <w:rsid w:val="00E81B97"/>
    <w:rsid w:val="00E85698"/>
    <w:rsid w:val="00E91D89"/>
    <w:rsid w:val="00E93A30"/>
    <w:rsid w:val="00EA24D4"/>
    <w:rsid w:val="00EA4E08"/>
    <w:rsid w:val="00EB21B1"/>
    <w:rsid w:val="00EB5517"/>
    <w:rsid w:val="00EC1FC4"/>
    <w:rsid w:val="00EC2843"/>
    <w:rsid w:val="00EC648F"/>
    <w:rsid w:val="00ED6A12"/>
    <w:rsid w:val="00EE193B"/>
    <w:rsid w:val="00EE2867"/>
    <w:rsid w:val="00EE3100"/>
    <w:rsid w:val="00EE7D35"/>
    <w:rsid w:val="00F06176"/>
    <w:rsid w:val="00F111BF"/>
    <w:rsid w:val="00F135C9"/>
    <w:rsid w:val="00F13958"/>
    <w:rsid w:val="00F14B04"/>
    <w:rsid w:val="00F25172"/>
    <w:rsid w:val="00F256F2"/>
    <w:rsid w:val="00F27F2D"/>
    <w:rsid w:val="00F27F7B"/>
    <w:rsid w:val="00F30EDA"/>
    <w:rsid w:val="00F375F0"/>
    <w:rsid w:val="00F40AA1"/>
    <w:rsid w:val="00F40BB4"/>
    <w:rsid w:val="00F4231E"/>
    <w:rsid w:val="00F47AC4"/>
    <w:rsid w:val="00F6247D"/>
    <w:rsid w:val="00F63708"/>
    <w:rsid w:val="00F70941"/>
    <w:rsid w:val="00F75C86"/>
    <w:rsid w:val="00F82EFE"/>
    <w:rsid w:val="00F90ED9"/>
    <w:rsid w:val="00F93F66"/>
    <w:rsid w:val="00FA142B"/>
    <w:rsid w:val="00FB38E3"/>
    <w:rsid w:val="00FC05A7"/>
    <w:rsid w:val="00FC2228"/>
    <w:rsid w:val="00FC3D7C"/>
    <w:rsid w:val="00FC3EDE"/>
    <w:rsid w:val="00FC6F96"/>
    <w:rsid w:val="00FD2335"/>
    <w:rsid w:val="00FD25DC"/>
    <w:rsid w:val="00FD407C"/>
    <w:rsid w:val="00FE0C8D"/>
    <w:rsid w:val="00FE14E5"/>
    <w:rsid w:val="00FE2B31"/>
    <w:rsid w:val="00FE53CD"/>
    <w:rsid w:val="00FE5A40"/>
    <w:rsid w:val="00FF1EE1"/>
    <w:rsid w:val="00FF256D"/>
    <w:rsid w:val="00FF3264"/>
    <w:rsid w:val="00FF4E87"/>
    <w:rsid w:val="00FF5659"/>
    <w:rsid w:val="00FF576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6B2E7BF4"/>
  <w15:docId w15:val="{27091C8B-04ED-464D-8992-6B7DC94A18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uiPriority="9" w:qFormat="1"/>
    <w:lsdException w:name="heading 4" w:uiPriority="9"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99"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135C9"/>
    <w:pPr>
      <w:spacing w:after="120"/>
      <w:jc w:val="both"/>
    </w:pPr>
    <w:rPr>
      <w:rFonts w:ascii="Arial" w:hAnsi="Arial"/>
      <w:szCs w:val="24"/>
    </w:rPr>
  </w:style>
  <w:style w:type="paragraph" w:styleId="Heading1">
    <w:name w:val="heading 1"/>
    <w:basedOn w:val="Normal"/>
    <w:next w:val="Normal"/>
    <w:link w:val="Heading1Char"/>
    <w:qFormat/>
    <w:rsid w:val="00F135C9"/>
    <w:pPr>
      <w:keepNext/>
      <w:numPr>
        <w:numId w:val="34"/>
      </w:numPr>
      <w:spacing w:before="240" w:after="60"/>
      <w:outlineLvl w:val="0"/>
    </w:pPr>
    <w:rPr>
      <w:rFonts w:cs="Arial"/>
      <w:b/>
      <w:bCs/>
      <w:kern w:val="32"/>
      <w:sz w:val="32"/>
      <w:szCs w:val="32"/>
    </w:rPr>
  </w:style>
  <w:style w:type="paragraph" w:styleId="Heading2">
    <w:name w:val="heading 2"/>
    <w:aliases w:val="Para2,Head hdbk,Top 2,h2,H2,h2 main heading,B Sub/Bold,B Sub/Bold1,B Sub/Bold2,B Sub/Bold11,h2 main heading1,h2 main heading2,B Sub/Bold3,B Sub/Bold12,h2 main heading3,B Sub/Bold4,B Sub/Bold13,SubPara,Para 2,new heading two,2 headline,h,sub"/>
    <w:basedOn w:val="Normal"/>
    <w:next w:val="Normal"/>
    <w:link w:val="Heading2Char"/>
    <w:unhideWhenUsed/>
    <w:qFormat/>
    <w:rsid w:val="00F135C9"/>
    <w:pPr>
      <w:keepNext/>
      <w:keepLines/>
      <w:spacing w:before="200" w:after="0"/>
      <w:outlineLvl w:val="1"/>
    </w:pPr>
    <w:rPr>
      <w:rFonts w:ascii="Cambria" w:hAnsi="Cambria"/>
      <w:b/>
      <w:bCs/>
      <w:color w:val="4F81BD"/>
      <w:sz w:val="26"/>
      <w:szCs w:val="26"/>
    </w:rPr>
  </w:style>
  <w:style w:type="paragraph" w:styleId="Heading3">
    <w:name w:val="heading 3"/>
    <w:aliases w:val="Para3,head3hdbk,H3,C Sub-Sub/Italic,h3 sub heading,Head 3,Head 31,Head 32,C Sub-Sub/Italic1,3,Sub2Para,3 bullet,b,2,(1),Major Sections,subsub,Para 3,h3,h31,h32,h311,h33,h312,h34,h313,h35,h314,h36,h315,h37,h316,h321,h3111,h331,h3121,h341,h3131"/>
    <w:basedOn w:val="Normal"/>
    <w:next w:val="Normal"/>
    <w:link w:val="Heading3Char"/>
    <w:uiPriority w:val="9"/>
    <w:qFormat/>
    <w:rsid w:val="00732F04"/>
    <w:pPr>
      <w:keepNext/>
      <w:keepLines/>
      <w:spacing w:before="120" w:after="60"/>
      <w:outlineLvl w:val="2"/>
    </w:pPr>
    <w:rPr>
      <w:b/>
      <w:bCs/>
      <w:i/>
      <w:color w:val="CF4520"/>
      <w:sz w:val="24"/>
    </w:rPr>
  </w:style>
  <w:style w:type="paragraph" w:styleId="Heading4">
    <w:name w:val="heading 4"/>
    <w:aliases w:val="Para4,h4,4 dash,d,(a),Para 4,h41,h42,h411,h43,h412,h44,h413,h45,h414,h46,h415,h47,h416,h421,h4111,h431,h4121,h441,h4131,h451,h4141,h461,h4151,h48,h417,h422,h4112,h432,h4122,h442,h4132,h452,h4142,h462,h4152,h49,h418,h423,h4113,h433,h4123,h443"/>
    <w:basedOn w:val="Normal"/>
    <w:next w:val="Normal"/>
    <w:link w:val="Heading4Char"/>
    <w:uiPriority w:val="9"/>
    <w:qFormat/>
    <w:rsid w:val="00732F04"/>
    <w:pPr>
      <w:keepNext/>
      <w:keepLines/>
      <w:spacing w:before="200" w:after="60"/>
      <w:outlineLvl w:val="3"/>
    </w:pPr>
    <w:rPr>
      <w:b/>
      <w:bCs/>
      <w:i/>
      <w:iCs/>
    </w:rPr>
  </w:style>
  <w:style w:type="paragraph" w:styleId="Heading5">
    <w:name w:val="heading 5"/>
    <w:aliases w:val="Para5,5 sub-bullet,sb,4,Spare1"/>
    <w:basedOn w:val="Normal"/>
    <w:next w:val="Normal"/>
    <w:qFormat/>
    <w:rsid w:val="003E2B2F"/>
    <w:pPr>
      <w:numPr>
        <w:ilvl w:val="4"/>
        <w:numId w:val="3"/>
      </w:numPr>
      <w:spacing w:before="240" w:after="60"/>
      <w:outlineLvl w:val="4"/>
    </w:pPr>
    <w:rPr>
      <w:b/>
      <w:bCs/>
      <w:iCs/>
      <w:szCs w:val="26"/>
    </w:rPr>
  </w:style>
  <w:style w:type="paragraph" w:styleId="Heading6">
    <w:name w:val="heading 6"/>
    <w:aliases w:val="sub-dash,sd,5,Spare2"/>
    <w:basedOn w:val="Normal"/>
    <w:next w:val="Normal"/>
    <w:qFormat/>
    <w:rsid w:val="003E2B2F"/>
    <w:pPr>
      <w:numPr>
        <w:ilvl w:val="5"/>
        <w:numId w:val="3"/>
      </w:numPr>
      <w:spacing w:before="240" w:after="60"/>
      <w:outlineLvl w:val="5"/>
    </w:pPr>
    <w:rPr>
      <w:rFonts w:ascii="Times New Roman" w:hAnsi="Times New Roman"/>
      <w:b/>
      <w:bCs/>
      <w:sz w:val="22"/>
    </w:rPr>
  </w:style>
  <w:style w:type="paragraph" w:styleId="Heading7">
    <w:name w:val="heading 7"/>
    <w:aliases w:val="Spare3"/>
    <w:basedOn w:val="Normal"/>
    <w:next w:val="Normal"/>
    <w:qFormat/>
    <w:rsid w:val="003E2B2F"/>
    <w:pPr>
      <w:numPr>
        <w:ilvl w:val="6"/>
        <w:numId w:val="3"/>
      </w:numPr>
      <w:spacing w:before="240" w:after="60"/>
      <w:outlineLvl w:val="6"/>
    </w:pPr>
    <w:rPr>
      <w:rFonts w:ascii="Times New Roman" w:hAnsi="Times New Roman"/>
      <w:sz w:val="24"/>
    </w:rPr>
  </w:style>
  <w:style w:type="paragraph" w:styleId="Heading8">
    <w:name w:val="heading 8"/>
    <w:aliases w:val="Spare4"/>
    <w:basedOn w:val="Normal"/>
    <w:next w:val="Normal"/>
    <w:qFormat/>
    <w:rsid w:val="003E2B2F"/>
    <w:pPr>
      <w:numPr>
        <w:ilvl w:val="7"/>
        <w:numId w:val="3"/>
      </w:numPr>
      <w:spacing w:before="240" w:after="60"/>
      <w:outlineLvl w:val="7"/>
    </w:pPr>
    <w:rPr>
      <w:rFonts w:ascii="Times New Roman" w:hAnsi="Times New Roman"/>
      <w:i/>
      <w:iCs/>
      <w:sz w:val="24"/>
    </w:rPr>
  </w:style>
  <w:style w:type="paragraph" w:styleId="Heading9">
    <w:name w:val="heading 9"/>
    <w:aliases w:val="Spare5"/>
    <w:basedOn w:val="Normal"/>
    <w:next w:val="Normal"/>
    <w:qFormat/>
    <w:rsid w:val="003E2B2F"/>
    <w:pPr>
      <w:numPr>
        <w:ilvl w:val="8"/>
        <w:numId w:val="3"/>
      </w:numPr>
      <w:spacing w:before="240" w:after="60"/>
      <w:outlineLvl w:val="8"/>
    </w:pPr>
    <w:rPr>
      <w:rFonts w:cs="Arial"/>
      <w:sz w:val="22"/>
    </w:rPr>
  </w:style>
  <w:style w:type="character" w:default="1" w:styleId="DefaultParagraphFont">
    <w:name w:val="Default Paragraph Font"/>
    <w:uiPriority w:val="1"/>
    <w:semiHidden/>
    <w:unhideWhenUsed/>
    <w:rsid w:val="00F135C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135C9"/>
  </w:style>
  <w:style w:type="paragraph" w:styleId="BodyText">
    <w:name w:val="Body Text"/>
    <w:basedOn w:val="Normal"/>
    <w:rsid w:val="003E2B2F"/>
  </w:style>
  <w:style w:type="character" w:styleId="CommentReference">
    <w:name w:val="annotation reference"/>
    <w:semiHidden/>
    <w:rPr>
      <w:sz w:val="16"/>
    </w:rPr>
  </w:style>
  <w:style w:type="paragraph" w:styleId="CommentText">
    <w:name w:val="annotation text"/>
    <w:basedOn w:val="Normal"/>
    <w:link w:val="CommentTextChar"/>
    <w:semiHidden/>
  </w:style>
  <w:style w:type="character" w:styleId="PageNumber">
    <w:name w:val="page number"/>
    <w:basedOn w:val="DefaultParagraphFont"/>
    <w:semiHidden/>
  </w:style>
  <w:style w:type="paragraph" w:styleId="Header">
    <w:name w:val="header"/>
    <w:basedOn w:val="Normal"/>
    <w:semiHidden/>
    <w:pPr>
      <w:tabs>
        <w:tab w:val="right" w:pos="9090"/>
      </w:tabs>
      <w:ind w:left="864" w:hanging="864"/>
    </w:pPr>
    <w:rPr>
      <w:sz w:val="16"/>
      <w:lang w:val="en-US"/>
    </w:rPr>
  </w:style>
  <w:style w:type="paragraph" w:styleId="Footer">
    <w:name w:val="footer"/>
    <w:basedOn w:val="Normal"/>
    <w:semiHidden/>
    <w:pPr>
      <w:tabs>
        <w:tab w:val="right" w:pos="9090"/>
      </w:tabs>
    </w:pPr>
    <w:rPr>
      <w:sz w:val="16"/>
      <w:lang w:val="en-US"/>
    </w:rPr>
  </w:style>
  <w:style w:type="character" w:styleId="Hyperlink">
    <w:name w:val="Hyperlink"/>
    <w:uiPriority w:val="99"/>
    <w:unhideWhenUsed/>
    <w:rsid w:val="00F135C9"/>
    <w:rPr>
      <w:color w:val="0000FF"/>
      <w:u w:val="single"/>
    </w:rPr>
  </w:style>
  <w:style w:type="paragraph" w:styleId="BodyTextIndent2">
    <w:name w:val="Body Text Indent 2"/>
    <w:basedOn w:val="Normal"/>
    <w:semiHidden/>
    <w:pPr>
      <w:ind w:left="1440"/>
    </w:pPr>
    <w:rPr>
      <w:sz w:val="24"/>
    </w:rPr>
  </w:style>
  <w:style w:type="paragraph" w:styleId="BalloonText">
    <w:name w:val="Balloon Text"/>
    <w:basedOn w:val="Normal"/>
    <w:semiHidden/>
    <w:rsid w:val="00F30EDA"/>
    <w:rPr>
      <w:rFonts w:ascii="Tahoma" w:hAnsi="Tahoma" w:cs="Tahoma"/>
      <w:sz w:val="16"/>
      <w:szCs w:val="16"/>
    </w:rPr>
  </w:style>
  <w:style w:type="character" w:styleId="FollowedHyperlink">
    <w:name w:val="FollowedHyperlink"/>
    <w:semiHidden/>
    <w:rPr>
      <w:color w:val="800080"/>
      <w:u w:val="single"/>
    </w:rPr>
  </w:style>
  <w:style w:type="paragraph" w:styleId="BlockText">
    <w:name w:val="Block Text"/>
    <w:basedOn w:val="Normal"/>
    <w:semiHidden/>
    <w:pPr>
      <w:spacing w:after="240"/>
      <w:ind w:left="2127" w:right="238" w:hanging="2127"/>
    </w:pPr>
    <w:rPr>
      <w:sz w:val="24"/>
    </w:rPr>
  </w:style>
  <w:style w:type="paragraph" w:styleId="BodyText2">
    <w:name w:val="Body Text 2"/>
    <w:basedOn w:val="Normal"/>
    <w:semiHidden/>
    <w:pPr>
      <w:keepNext/>
      <w:spacing w:after="240"/>
      <w:ind w:right="522"/>
    </w:pPr>
    <w:rPr>
      <w:sz w:val="24"/>
    </w:rPr>
  </w:style>
  <w:style w:type="paragraph" w:styleId="BodyText3">
    <w:name w:val="Body Text 3"/>
    <w:basedOn w:val="Normal"/>
    <w:semiHidden/>
    <w:pPr>
      <w:spacing w:after="240"/>
    </w:pPr>
  </w:style>
  <w:style w:type="paragraph" w:styleId="BodyTextIndent">
    <w:name w:val="Body Text Indent"/>
    <w:basedOn w:val="Normal"/>
    <w:semiHidden/>
    <w:pPr>
      <w:ind w:left="720" w:hanging="720"/>
    </w:pPr>
    <w:rPr>
      <w:b/>
      <w:sz w:val="24"/>
    </w:rPr>
  </w:style>
  <w:style w:type="paragraph" w:styleId="DocumentMap">
    <w:name w:val="Document Map"/>
    <w:basedOn w:val="Normal"/>
    <w:semiHidden/>
    <w:pPr>
      <w:shd w:val="clear" w:color="auto" w:fill="000080"/>
    </w:pPr>
    <w:rPr>
      <w:rFonts w:ascii="Tahoma" w:hAnsi="Tahoma"/>
    </w:rPr>
  </w:style>
  <w:style w:type="paragraph" w:styleId="ListBullet">
    <w:name w:val="List Bullet"/>
    <w:basedOn w:val="Normal"/>
    <w:autoRedefine/>
    <w:semiHidden/>
    <w:pPr>
      <w:widowControl w:val="0"/>
      <w:spacing w:after="220"/>
    </w:pPr>
    <w:rPr>
      <w:rFonts w:ascii="Times New Roman" w:hAnsi="Times New Roman"/>
      <w:snapToGrid w:val="0"/>
      <w:sz w:val="22"/>
    </w:rPr>
  </w:style>
  <w:style w:type="paragraph" w:styleId="FootnoteText">
    <w:name w:val="footnote text"/>
    <w:basedOn w:val="Normal"/>
    <w:semiHidden/>
    <w:rsid w:val="00F135C9"/>
    <w:rPr>
      <w:szCs w:val="20"/>
    </w:rPr>
  </w:style>
  <w:style w:type="character" w:styleId="FootnoteReference">
    <w:name w:val="footnote reference"/>
    <w:semiHidden/>
    <w:rPr>
      <w:vertAlign w:val="superscript"/>
    </w:rPr>
  </w:style>
  <w:style w:type="paragraph" w:styleId="EndnoteText">
    <w:name w:val="endnote text"/>
    <w:basedOn w:val="Normal"/>
    <w:semiHidden/>
    <w:rsid w:val="003E2B2F"/>
    <w:rPr>
      <w:szCs w:val="20"/>
    </w:rPr>
  </w:style>
  <w:style w:type="character" w:styleId="EndnoteReference">
    <w:name w:val="endnote reference"/>
    <w:semiHidden/>
    <w:rPr>
      <w:vertAlign w:val="superscript"/>
    </w:rPr>
  </w:style>
  <w:style w:type="paragraph" w:styleId="ListNumber2">
    <w:name w:val="List Number 2"/>
    <w:basedOn w:val="Normal"/>
    <w:semiHidden/>
    <w:pPr>
      <w:numPr>
        <w:numId w:val="1"/>
      </w:numPr>
      <w:tabs>
        <w:tab w:val="left" w:pos="0"/>
        <w:tab w:val="left" w:pos="851"/>
        <w:tab w:val="num" w:pos="1701"/>
        <w:tab w:val="left" w:pos="2018"/>
        <w:tab w:val="left" w:pos="3027"/>
        <w:tab w:val="left" w:pos="4036"/>
        <w:tab w:val="left" w:pos="5046"/>
        <w:tab w:val="left" w:pos="6054"/>
        <w:tab w:val="left" w:pos="7063"/>
        <w:tab w:val="left" w:pos="8072"/>
        <w:tab w:val="left" w:pos="9081"/>
        <w:tab w:val="left" w:pos="10090"/>
        <w:tab w:val="left" w:pos="11100"/>
        <w:tab w:val="left" w:pos="12109"/>
        <w:tab w:val="left" w:pos="13118"/>
        <w:tab w:val="left" w:pos="14127"/>
        <w:tab w:val="left" w:pos="15136"/>
        <w:tab w:val="left" w:pos="16144"/>
        <w:tab w:val="left" w:pos="17154"/>
        <w:tab w:val="left" w:pos="18163"/>
      </w:tabs>
      <w:suppressAutoHyphens/>
      <w:spacing w:after="220"/>
      <w:ind w:left="1701" w:hanging="850"/>
    </w:pPr>
    <w:rPr>
      <w:rFonts w:ascii="CG Times" w:hAnsi="CG Times"/>
      <w:snapToGrid w:val="0"/>
      <w:sz w:val="24"/>
    </w:rPr>
  </w:style>
  <w:style w:type="paragraph" w:styleId="BodyTextIndent3">
    <w:name w:val="Body Text Indent 3"/>
    <w:basedOn w:val="Normal"/>
    <w:semiHidden/>
    <w:pPr>
      <w:spacing w:after="0"/>
      <w:ind w:left="1418" w:hanging="851"/>
    </w:pPr>
    <w:rPr>
      <w:rFonts w:ascii="Times New Roman" w:hAnsi="Times New Roman"/>
      <w:lang w:val="en-US"/>
    </w:rPr>
  </w:style>
  <w:style w:type="paragraph" w:styleId="TOC1">
    <w:name w:val="toc 1"/>
    <w:next w:val="ASDEFCONNormal"/>
    <w:autoRedefine/>
    <w:uiPriority w:val="39"/>
    <w:rsid w:val="00F135C9"/>
    <w:pPr>
      <w:tabs>
        <w:tab w:val="right" w:leader="dot" w:pos="9016"/>
      </w:tabs>
      <w:spacing w:before="120" w:after="60"/>
      <w:ind w:left="567" w:hanging="567"/>
    </w:pPr>
    <w:rPr>
      <w:rFonts w:ascii="Arial" w:hAnsi="Arial" w:cs="Arial"/>
      <w:b/>
      <w:noProof/>
      <w:szCs w:val="24"/>
    </w:rPr>
  </w:style>
  <w:style w:type="paragraph" w:styleId="TOC2">
    <w:name w:val="toc 2"/>
    <w:next w:val="ASDEFCONNormal"/>
    <w:autoRedefine/>
    <w:uiPriority w:val="39"/>
    <w:rsid w:val="00F135C9"/>
    <w:pPr>
      <w:spacing w:after="60"/>
      <w:ind w:left="1417" w:hanging="850"/>
    </w:pPr>
    <w:rPr>
      <w:rFonts w:ascii="Arial" w:hAnsi="Arial" w:cs="Arial"/>
      <w:szCs w:val="24"/>
    </w:rPr>
  </w:style>
  <w:style w:type="paragraph" w:styleId="TOC3">
    <w:name w:val="toc 3"/>
    <w:basedOn w:val="Normal"/>
    <w:next w:val="Normal"/>
    <w:autoRedefine/>
    <w:rsid w:val="00F135C9"/>
    <w:pPr>
      <w:spacing w:after="100"/>
      <w:ind w:left="400"/>
    </w:pPr>
  </w:style>
  <w:style w:type="paragraph" w:styleId="TOC4">
    <w:name w:val="toc 4"/>
    <w:basedOn w:val="Normal"/>
    <w:next w:val="Normal"/>
    <w:autoRedefine/>
    <w:rsid w:val="00F135C9"/>
    <w:pPr>
      <w:spacing w:after="100"/>
      <w:ind w:left="600"/>
    </w:pPr>
  </w:style>
  <w:style w:type="paragraph" w:styleId="TOC5">
    <w:name w:val="toc 5"/>
    <w:basedOn w:val="Normal"/>
    <w:next w:val="Normal"/>
    <w:autoRedefine/>
    <w:rsid w:val="00F135C9"/>
    <w:pPr>
      <w:spacing w:after="100"/>
      <w:ind w:left="800"/>
    </w:pPr>
  </w:style>
  <w:style w:type="paragraph" w:styleId="TOC6">
    <w:name w:val="toc 6"/>
    <w:basedOn w:val="Normal"/>
    <w:next w:val="Normal"/>
    <w:autoRedefine/>
    <w:rsid w:val="00F135C9"/>
    <w:pPr>
      <w:spacing w:after="100"/>
      <w:ind w:left="1000"/>
    </w:pPr>
  </w:style>
  <w:style w:type="paragraph" w:styleId="TOC7">
    <w:name w:val="toc 7"/>
    <w:basedOn w:val="Normal"/>
    <w:next w:val="Normal"/>
    <w:autoRedefine/>
    <w:rsid w:val="00F135C9"/>
    <w:pPr>
      <w:spacing w:after="100"/>
      <w:ind w:left="1200"/>
    </w:pPr>
  </w:style>
  <w:style w:type="paragraph" w:styleId="TOC8">
    <w:name w:val="toc 8"/>
    <w:basedOn w:val="Normal"/>
    <w:next w:val="Normal"/>
    <w:autoRedefine/>
    <w:rsid w:val="00F135C9"/>
    <w:pPr>
      <w:spacing w:after="100"/>
      <w:ind w:left="1400"/>
    </w:pPr>
  </w:style>
  <w:style w:type="paragraph" w:styleId="TOC9">
    <w:name w:val="toc 9"/>
    <w:basedOn w:val="Normal"/>
    <w:next w:val="Normal"/>
    <w:autoRedefine/>
    <w:rsid w:val="00F135C9"/>
    <w:pPr>
      <w:spacing w:after="100"/>
      <w:ind w:left="1600"/>
    </w:pPr>
  </w:style>
  <w:style w:type="paragraph" w:styleId="PlainText">
    <w:name w:val="Plain Text"/>
    <w:basedOn w:val="Normal"/>
    <w:semiHidden/>
    <w:rPr>
      <w:rFonts w:ascii="Courier New" w:hAnsi="Courier New"/>
    </w:rPr>
  </w:style>
  <w:style w:type="table" w:styleId="TableGrid">
    <w:name w:val="Table Grid"/>
    <w:basedOn w:val="TableNormal"/>
    <w:rsid w:val="003E2B2F"/>
    <w:pPr>
      <w:spacing w:after="200" w:line="276" w:lineRule="auto"/>
    </w:pPr>
    <w:rPr>
      <w:rFonts w:ascii="Arial" w:eastAsia="Calibri"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
    <w:name w:val="Style1"/>
    <w:basedOn w:val="Heading4"/>
    <w:rsid w:val="00B10547"/>
    <w:rPr>
      <w:b w:val="0"/>
    </w:rPr>
  </w:style>
  <w:style w:type="paragraph" w:styleId="CommentSubject">
    <w:name w:val="annotation subject"/>
    <w:basedOn w:val="CommentText"/>
    <w:next w:val="CommentText"/>
    <w:semiHidden/>
    <w:rsid w:val="0088499C"/>
    <w:rPr>
      <w:b/>
      <w:bCs/>
      <w:szCs w:val="20"/>
    </w:rPr>
  </w:style>
  <w:style w:type="paragraph" w:customStyle="1" w:styleId="Clause">
    <w:name w:val="Clause"/>
    <w:basedOn w:val="Normal"/>
    <w:next w:val="Normal"/>
    <w:rsid w:val="00F111BF"/>
    <w:pPr>
      <w:jc w:val="right"/>
    </w:pPr>
    <w:rPr>
      <w:i/>
    </w:rPr>
  </w:style>
  <w:style w:type="paragraph" w:customStyle="1" w:styleId="notepara">
    <w:name w:val="notepara"/>
    <w:next w:val="Normal"/>
    <w:rsid w:val="00F111BF"/>
    <w:pPr>
      <w:numPr>
        <w:numId w:val="4"/>
      </w:numPr>
      <w:shd w:val="pct25" w:color="auto" w:fill="FFFFFF"/>
      <w:spacing w:after="120"/>
    </w:pPr>
    <w:rPr>
      <w:rFonts w:ascii="Arial" w:hAnsi="Arial"/>
      <w:b/>
      <w:i/>
      <w:noProof/>
    </w:rPr>
  </w:style>
  <w:style w:type="numbering" w:customStyle="1" w:styleId="Level">
    <w:name w:val="Level"/>
    <w:rsid w:val="004004FA"/>
    <w:pPr>
      <w:numPr>
        <w:numId w:val="5"/>
      </w:numPr>
    </w:pPr>
  </w:style>
  <w:style w:type="paragraph" w:customStyle="1" w:styleId="TablePara">
    <w:name w:val="Table Para"/>
    <w:autoRedefine/>
    <w:semiHidden/>
    <w:rsid w:val="003A6F51"/>
    <w:pPr>
      <w:numPr>
        <w:numId w:val="7"/>
      </w:numPr>
      <w:spacing w:before="120" w:after="120"/>
      <w:jc w:val="both"/>
    </w:pPr>
    <w:rPr>
      <w:rFonts w:ascii="Arial" w:hAnsi="Arial"/>
      <w:noProof/>
      <w:lang w:val="en-US" w:eastAsia="en-US"/>
    </w:rPr>
  </w:style>
  <w:style w:type="paragraph" w:customStyle="1" w:styleId="COTCOCLV2-ASDEFCON">
    <w:name w:val="COT/COC LV2 - ASDEFCON"/>
    <w:basedOn w:val="ASDEFCONNormal"/>
    <w:next w:val="COTCOCLV3-ASDEFCON"/>
    <w:rsid w:val="00F135C9"/>
    <w:pPr>
      <w:keepNext/>
      <w:keepLines/>
      <w:numPr>
        <w:ilvl w:val="1"/>
        <w:numId w:val="8"/>
      </w:numPr>
      <w:pBdr>
        <w:bottom w:val="single" w:sz="4" w:space="1" w:color="auto"/>
      </w:pBdr>
    </w:pPr>
    <w:rPr>
      <w:b/>
    </w:rPr>
  </w:style>
  <w:style w:type="paragraph" w:customStyle="1" w:styleId="ASDEFCONNormal">
    <w:name w:val="ASDEFCON Normal"/>
    <w:link w:val="ASDEFCONNormalChar"/>
    <w:rsid w:val="00F135C9"/>
    <w:pPr>
      <w:spacing w:after="120"/>
      <w:jc w:val="both"/>
    </w:pPr>
    <w:rPr>
      <w:rFonts w:ascii="Arial" w:hAnsi="Arial"/>
      <w:color w:val="000000"/>
      <w:szCs w:val="40"/>
    </w:rPr>
  </w:style>
  <w:style w:type="character" w:customStyle="1" w:styleId="ASDEFCONNormalChar">
    <w:name w:val="ASDEFCON Normal Char"/>
    <w:link w:val="ASDEFCONNormal"/>
    <w:rsid w:val="00F135C9"/>
    <w:rPr>
      <w:rFonts w:ascii="Arial" w:hAnsi="Arial"/>
      <w:color w:val="000000"/>
      <w:szCs w:val="40"/>
    </w:rPr>
  </w:style>
  <w:style w:type="paragraph" w:customStyle="1" w:styleId="COTCOCLV3-ASDEFCON">
    <w:name w:val="COT/COC LV3 - ASDEFCON"/>
    <w:basedOn w:val="ASDEFCONNormal"/>
    <w:rsid w:val="00F135C9"/>
    <w:pPr>
      <w:numPr>
        <w:ilvl w:val="2"/>
        <w:numId w:val="8"/>
      </w:numPr>
    </w:pPr>
  </w:style>
  <w:style w:type="paragraph" w:customStyle="1" w:styleId="COTCOCLV1-ASDEFCON">
    <w:name w:val="COT/COC LV1 - ASDEFCON"/>
    <w:basedOn w:val="ASDEFCONNormal"/>
    <w:next w:val="COTCOCLV2-ASDEFCON"/>
    <w:rsid w:val="00F135C9"/>
    <w:pPr>
      <w:keepNext/>
      <w:keepLines/>
      <w:numPr>
        <w:numId w:val="8"/>
      </w:numPr>
      <w:spacing w:before="240"/>
    </w:pPr>
    <w:rPr>
      <w:b/>
      <w:caps/>
    </w:rPr>
  </w:style>
  <w:style w:type="paragraph" w:customStyle="1" w:styleId="COTCOCLV4-ASDEFCON">
    <w:name w:val="COT/COC LV4 - ASDEFCON"/>
    <w:basedOn w:val="ASDEFCONNormal"/>
    <w:rsid w:val="00F135C9"/>
    <w:pPr>
      <w:numPr>
        <w:ilvl w:val="3"/>
        <w:numId w:val="8"/>
      </w:numPr>
    </w:pPr>
  </w:style>
  <w:style w:type="paragraph" w:customStyle="1" w:styleId="COTCOCLV5-ASDEFCON">
    <w:name w:val="COT/COC LV5 - ASDEFCON"/>
    <w:basedOn w:val="ASDEFCONNormal"/>
    <w:rsid w:val="00F135C9"/>
    <w:pPr>
      <w:numPr>
        <w:ilvl w:val="4"/>
        <w:numId w:val="8"/>
      </w:numPr>
    </w:pPr>
  </w:style>
  <w:style w:type="paragraph" w:customStyle="1" w:styleId="COTCOCLV6-ASDEFCON">
    <w:name w:val="COT/COC LV6 - ASDEFCON"/>
    <w:basedOn w:val="ASDEFCONNormal"/>
    <w:rsid w:val="00F135C9"/>
    <w:pPr>
      <w:keepLines/>
      <w:numPr>
        <w:ilvl w:val="5"/>
        <w:numId w:val="8"/>
      </w:numPr>
    </w:pPr>
  </w:style>
  <w:style w:type="paragraph" w:customStyle="1" w:styleId="ASDEFCONOption">
    <w:name w:val="ASDEFCON Option"/>
    <w:basedOn w:val="ASDEFCONNormal"/>
    <w:rsid w:val="00F135C9"/>
    <w:pPr>
      <w:keepNext/>
      <w:spacing w:before="60"/>
    </w:pPr>
    <w:rPr>
      <w:b/>
      <w:i/>
      <w:szCs w:val="24"/>
    </w:rPr>
  </w:style>
  <w:style w:type="paragraph" w:customStyle="1" w:styleId="NoteToDrafters-ASDEFCON">
    <w:name w:val="Note To Drafters - ASDEFCON"/>
    <w:basedOn w:val="ASDEFCONNormal"/>
    <w:link w:val="NoteToDrafters-ASDEFCONChar"/>
    <w:rsid w:val="00F135C9"/>
    <w:pPr>
      <w:keepNext/>
      <w:shd w:val="clear" w:color="auto" w:fill="000000"/>
    </w:pPr>
    <w:rPr>
      <w:b/>
      <w:i/>
      <w:color w:val="FFFFFF"/>
    </w:rPr>
  </w:style>
  <w:style w:type="paragraph" w:customStyle="1" w:styleId="NoteToTenderers-ASDEFCON">
    <w:name w:val="Note To Tenderers - ASDEFCON"/>
    <w:basedOn w:val="ASDEFCONNormal"/>
    <w:link w:val="NoteToTenderers-ASDEFCONChar"/>
    <w:rsid w:val="00F135C9"/>
    <w:pPr>
      <w:keepNext/>
      <w:shd w:val="pct15" w:color="auto" w:fill="auto"/>
    </w:pPr>
    <w:rPr>
      <w:b/>
      <w:i/>
    </w:rPr>
  </w:style>
  <w:style w:type="paragraph" w:customStyle="1" w:styleId="ASDEFCONTitle">
    <w:name w:val="ASDEFCON Title"/>
    <w:basedOn w:val="ASDEFCONNormal"/>
    <w:rsid w:val="00F135C9"/>
    <w:pPr>
      <w:keepLines/>
      <w:spacing w:before="240"/>
      <w:jc w:val="center"/>
    </w:pPr>
    <w:rPr>
      <w:b/>
      <w:caps/>
    </w:rPr>
  </w:style>
  <w:style w:type="paragraph" w:customStyle="1" w:styleId="ATTANNLV1-ASDEFCON">
    <w:name w:val="ATT/ANN LV1 - ASDEFCON"/>
    <w:basedOn w:val="ASDEFCONNormal"/>
    <w:next w:val="ATTANNLV2-ASDEFCON"/>
    <w:rsid w:val="00F135C9"/>
    <w:pPr>
      <w:keepNext/>
      <w:keepLines/>
      <w:numPr>
        <w:numId w:val="31"/>
      </w:numPr>
      <w:spacing w:before="240"/>
    </w:pPr>
    <w:rPr>
      <w:rFonts w:ascii="Arial Bold" w:hAnsi="Arial Bold"/>
      <w:b/>
      <w:caps/>
      <w:szCs w:val="24"/>
    </w:rPr>
  </w:style>
  <w:style w:type="paragraph" w:customStyle="1" w:styleId="ATTANNLV2-ASDEFCON">
    <w:name w:val="ATT/ANN LV2 - ASDEFCON"/>
    <w:basedOn w:val="ASDEFCONNormal"/>
    <w:link w:val="ATTANNLV2-ASDEFCONChar"/>
    <w:rsid w:val="00F135C9"/>
    <w:pPr>
      <w:numPr>
        <w:ilvl w:val="1"/>
        <w:numId w:val="31"/>
      </w:numPr>
    </w:pPr>
    <w:rPr>
      <w:szCs w:val="24"/>
    </w:rPr>
  </w:style>
  <w:style w:type="character" w:customStyle="1" w:styleId="ATTANNLV2-ASDEFCONChar">
    <w:name w:val="ATT/ANN LV2 - ASDEFCON Char"/>
    <w:link w:val="ATTANNLV2-ASDEFCON"/>
    <w:rsid w:val="00F135C9"/>
    <w:rPr>
      <w:rFonts w:ascii="Arial" w:hAnsi="Arial"/>
      <w:color w:val="000000"/>
      <w:szCs w:val="24"/>
    </w:rPr>
  </w:style>
  <w:style w:type="paragraph" w:customStyle="1" w:styleId="ATTANNLV3-ASDEFCON">
    <w:name w:val="ATT/ANN LV3 - ASDEFCON"/>
    <w:basedOn w:val="ASDEFCONNormal"/>
    <w:rsid w:val="00F135C9"/>
    <w:pPr>
      <w:numPr>
        <w:ilvl w:val="2"/>
        <w:numId w:val="31"/>
      </w:numPr>
    </w:pPr>
    <w:rPr>
      <w:szCs w:val="24"/>
    </w:rPr>
  </w:style>
  <w:style w:type="paragraph" w:customStyle="1" w:styleId="ATTANNLV4-ASDEFCON">
    <w:name w:val="ATT/ANN LV4 - ASDEFCON"/>
    <w:basedOn w:val="ASDEFCONNormal"/>
    <w:rsid w:val="00F135C9"/>
    <w:pPr>
      <w:numPr>
        <w:ilvl w:val="3"/>
        <w:numId w:val="31"/>
      </w:numPr>
    </w:pPr>
    <w:rPr>
      <w:szCs w:val="24"/>
    </w:rPr>
  </w:style>
  <w:style w:type="paragraph" w:customStyle="1" w:styleId="ASDEFCONCoverTitle">
    <w:name w:val="ASDEFCON Cover Title"/>
    <w:rsid w:val="00F135C9"/>
    <w:pPr>
      <w:jc w:val="center"/>
    </w:pPr>
    <w:rPr>
      <w:rFonts w:ascii="Georgia" w:hAnsi="Georgia"/>
      <w:b/>
      <w:color w:val="000000"/>
      <w:sz w:val="100"/>
      <w:szCs w:val="24"/>
    </w:rPr>
  </w:style>
  <w:style w:type="paragraph" w:customStyle="1" w:styleId="ASDEFCONHeaderFooterLeft">
    <w:name w:val="ASDEFCON Header/Footer Left"/>
    <w:basedOn w:val="ASDEFCONNormal"/>
    <w:rsid w:val="00F135C9"/>
    <w:pPr>
      <w:spacing w:after="0"/>
      <w:jc w:val="left"/>
    </w:pPr>
    <w:rPr>
      <w:sz w:val="16"/>
      <w:szCs w:val="24"/>
    </w:rPr>
  </w:style>
  <w:style w:type="paragraph" w:customStyle="1" w:styleId="ASDEFCONCoverPageIncorp">
    <w:name w:val="ASDEFCON Cover Page Incorp"/>
    <w:rsid w:val="00F135C9"/>
    <w:pPr>
      <w:keepNext/>
      <w:spacing w:before="480"/>
      <w:ind w:firstLine="1701"/>
    </w:pPr>
    <w:rPr>
      <w:rFonts w:ascii="Franklin Gothic Medium" w:hAnsi="Franklin Gothic Medium"/>
      <w:color w:val="000000"/>
      <w:sz w:val="52"/>
      <w:szCs w:val="40"/>
    </w:rPr>
  </w:style>
  <w:style w:type="paragraph" w:customStyle="1" w:styleId="Note-ASDEFCON">
    <w:name w:val="Note - ASDEFCON"/>
    <w:basedOn w:val="ASDEFCONNormal"/>
    <w:rsid w:val="00F135C9"/>
    <w:rPr>
      <w:b/>
      <w:i/>
    </w:rPr>
  </w:style>
  <w:style w:type="paragraph" w:customStyle="1" w:styleId="COTCOCLV2NONUM-ASDEFCON">
    <w:name w:val="COT/COC LV2 NONUM - ASDEFCON"/>
    <w:basedOn w:val="COTCOCLV2-ASDEFCON"/>
    <w:next w:val="COTCOCLV3-ASDEFCON"/>
    <w:rsid w:val="00F135C9"/>
    <w:pPr>
      <w:keepNext w:val="0"/>
      <w:numPr>
        <w:ilvl w:val="0"/>
        <w:numId w:val="0"/>
      </w:numPr>
      <w:ind w:firstLine="851"/>
    </w:pPr>
    <w:rPr>
      <w:bCs/>
      <w:szCs w:val="20"/>
    </w:rPr>
  </w:style>
  <w:style w:type="paragraph" w:customStyle="1" w:styleId="COTCOCLV1NONUM-ASDEFCON">
    <w:name w:val="COT/COC LV1 NONUM - ASDEFCON"/>
    <w:basedOn w:val="COTCOCLV1-ASDEFCON"/>
    <w:next w:val="COTCOCLV2-ASDEFCON"/>
    <w:rsid w:val="00F135C9"/>
    <w:pPr>
      <w:keepNext w:val="0"/>
      <w:numPr>
        <w:numId w:val="0"/>
      </w:numPr>
      <w:ind w:left="851"/>
    </w:pPr>
    <w:rPr>
      <w:bCs/>
      <w:szCs w:val="20"/>
    </w:rPr>
  </w:style>
  <w:style w:type="paragraph" w:customStyle="1" w:styleId="COTCOCLV3NONUM-ASDEFCON">
    <w:name w:val="COT/COC LV3 NONUM - ASDEFCON"/>
    <w:basedOn w:val="COTCOCLV3-ASDEFCON"/>
    <w:next w:val="COTCOCLV3-ASDEFCON"/>
    <w:rsid w:val="00F135C9"/>
    <w:pPr>
      <w:numPr>
        <w:ilvl w:val="0"/>
        <w:numId w:val="0"/>
      </w:numPr>
      <w:ind w:left="851"/>
    </w:pPr>
    <w:rPr>
      <w:szCs w:val="20"/>
    </w:rPr>
  </w:style>
  <w:style w:type="paragraph" w:customStyle="1" w:styleId="COTCOCLV4NONUM-ASDEFCON">
    <w:name w:val="COT/COC LV4 NONUM - ASDEFCON"/>
    <w:basedOn w:val="COTCOCLV4-ASDEFCON"/>
    <w:next w:val="COTCOCLV4-ASDEFCON"/>
    <w:rsid w:val="00F135C9"/>
    <w:pPr>
      <w:numPr>
        <w:ilvl w:val="0"/>
        <w:numId w:val="0"/>
      </w:numPr>
      <w:ind w:left="1418"/>
    </w:pPr>
    <w:rPr>
      <w:szCs w:val="20"/>
    </w:rPr>
  </w:style>
  <w:style w:type="paragraph" w:customStyle="1" w:styleId="COTCOCLV5NONUM-ASDEFCON">
    <w:name w:val="COT/COC LV5 NONUM - ASDEFCON"/>
    <w:basedOn w:val="COTCOCLV5-ASDEFCON"/>
    <w:next w:val="COTCOCLV5-ASDEFCON"/>
    <w:rsid w:val="00F135C9"/>
    <w:pPr>
      <w:numPr>
        <w:ilvl w:val="0"/>
        <w:numId w:val="0"/>
      </w:numPr>
      <w:ind w:left="1985"/>
    </w:pPr>
    <w:rPr>
      <w:szCs w:val="20"/>
    </w:rPr>
  </w:style>
  <w:style w:type="paragraph" w:customStyle="1" w:styleId="COTCOCLV6NONUM-ASDEFCON">
    <w:name w:val="COT/COC LV6 NONUM - ASDEFCON"/>
    <w:basedOn w:val="COTCOCLV6-ASDEFCON"/>
    <w:next w:val="COTCOCLV6-ASDEFCON"/>
    <w:rsid w:val="00F135C9"/>
    <w:pPr>
      <w:numPr>
        <w:ilvl w:val="0"/>
        <w:numId w:val="0"/>
      </w:numPr>
      <w:ind w:left="2552"/>
    </w:pPr>
    <w:rPr>
      <w:szCs w:val="20"/>
    </w:rPr>
  </w:style>
  <w:style w:type="paragraph" w:customStyle="1" w:styleId="ATTANNLV1NONUM-ASDEFCON">
    <w:name w:val="ATT/ANN LV1 NONUM - ASDEFCON"/>
    <w:basedOn w:val="ATTANNLV1-ASDEFCON"/>
    <w:next w:val="ATTANNLV2-ASDEFCON"/>
    <w:rsid w:val="00F135C9"/>
    <w:pPr>
      <w:numPr>
        <w:numId w:val="0"/>
      </w:numPr>
      <w:ind w:left="851"/>
    </w:pPr>
    <w:rPr>
      <w:bCs/>
      <w:szCs w:val="20"/>
    </w:rPr>
  </w:style>
  <w:style w:type="paragraph" w:customStyle="1" w:styleId="ATTANNLV2NONUM-ASDEFCON">
    <w:name w:val="ATT/ANN LV2 NONUM - ASDEFCON"/>
    <w:basedOn w:val="ATTANNLV2-ASDEFCON"/>
    <w:next w:val="ATTANNLV2-ASDEFCON"/>
    <w:rsid w:val="00F135C9"/>
    <w:pPr>
      <w:numPr>
        <w:ilvl w:val="0"/>
        <w:numId w:val="0"/>
      </w:numPr>
      <w:ind w:left="851"/>
    </w:pPr>
    <w:rPr>
      <w:szCs w:val="20"/>
    </w:rPr>
  </w:style>
  <w:style w:type="paragraph" w:customStyle="1" w:styleId="ATTANNLV3NONUM-ASDEFCON">
    <w:name w:val="ATT/ANN LV3 NONUM - ASDEFCON"/>
    <w:basedOn w:val="ATTANNLV3-ASDEFCON"/>
    <w:next w:val="ATTANNLV3-ASDEFCON"/>
    <w:rsid w:val="00F135C9"/>
    <w:pPr>
      <w:numPr>
        <w:ilvl w:val="0"/>
        <w:numId w:val="0"/>
      </w:numPr>
      <w:ind w:left="1418"/>
    </w:pPr>
    <w:rPr>
      <w:szCs w:val="20"/>
    </w:rPr>
  </w:style>
  <w:style w:type="paragraph" w:customStyle="1" w:styleId="ATTANNLV4NONUM-ASDEFCON">
    <w:name w:val="ATT/ANN LV4 NONUM - ASDEFCON"/>
    <w:basedOn w:val="ATTANNLV4-ASDEFCON"/>
    <w:next w:val="ATTANNLV4-ASDEFCON"/>
    <w:rsid w:val="00F135C9"/>
    <w:pPr>
      <w:numPr>
        <w:ilvl w:val="0"/>
        <w:numId w:val="0"/>
      </w:numPr>
      <w:ind w:left="1985"/>
    </w:pPr>
    <w:rPr>
      <w:szCs w:val="20"/>
    </w:rPr>
  </w:style>
  <w:style w:type="paragraph" w:customStyle="1" w:styleId="NoteToDraftersBullets-ASDEFCON">
    <w:name w:val="Note To Drafters Bullets - ASDEFCON"/>
    <w:basedOn w:val="NoteToDrafters-ASDEFCON"/>
    <w:rsid w:val="00F135C9"/>
    <w:pPr>
      <w:numPr>
        <w:numId w:val="10"/>
      </w:numPr>
    </w:pPr>
    <w:rPr>
      <w:bCs/>
      <w:iCs/>
      <w:szCs w:val="20"/>
    </w:rPr>
  </w:style>
  <w:style w:type="paragraph" w:customStyle="1" w:styleId="NoteToDraftersList-ASDEFCON">
    <w:name w:val="Note To Drafters List - ASDEFCON"/>
    <w:basedOn w:val="NoteToDrafters-ASDEFCON"/>
    <w:rsid w:val="00F135C9"/>
    <w:pPr>
      <w:numPr>
        <w:numId w:val="11"/>
      </w:numPr>
    </w:pPr>
    <w:rPr>
      <w:bCs/>
      <w:iCs/>
      <w:szCs w:val="20"/>
    </w:rPr>
  </w:style>
  <w:style w:type="paragraph" w:customStyle="1" w:styleId="NoteToTenderersBullets-ASDEFCON">
    <w:name w:val="Note To Tenderers Bullets - ASDEFCON"/>
    <w:basedOn w:val="NoteToTenderers-ASDEFCON"/>
    <w:rsid w:val="00F135C9"/>
    <w:pPr>
      <w:numPr>
        <w:numId w:val="12"/>
      </w:numPr>
    </w:pPr>
    <w:rPr>
      <w:bCs/>
      <w:iCs/>
      <w:szCs w:val="20"/>
    </w:rPr>
  </w:style>
  <w:style w:type="paragraph" w:customStyle="1" w:styleId="NoteToTenderersList-ASDEFCON">
    <w:name w:val="Note To Tenderers List - ASDEFCON"/>
    <w:basedOn w:val="NoteToTenderers-ASDEFCON"/>
    <w:rsid w:val="00F135C9"/>
    <w:pPr>
      <w:numPr>
        <w:numId w:val="13"/>
      </w:numPr>
    </w:pPr>
    <w:rPr>
      <w:bCs/>
      <w:iCs/>
      <w:szCs w:val="20"/>
    </w:rPr>
  </w:style>
  <w:style w:type="paragraph" w:customStyle="1" w:styleId="SOWHL1-ASDEFCON">
    <w:name w:val="SOW HL1 - ASDEFCON"/>
    <w:basedOn w:val="ASDEFCONNormal"/>
    <w:next w:val="SOWHL2-ASDEFCON"/>
    <w:qFormat/>
    <w:rsid w:val="00F135C9"/>
    <w:pPr>
      <w:keepNext/>
      <w:numPr>
        <w:numId w:val="6"/>
      </w:numPr>
      <w:spacing w:before="120" w:after="240"/>
    </w:pPr>
    <w:rPr>
      <w:rFonts w:ascii="Arial Bold" w:eastAsia="Calibri" w:hAnsi="Arial Bold"/>
      <w:b/>
      <w:caps/>
      <w:szCs w:val="20"/>
      <w:lang w:eastAsia="en-US"/>
    </w:rPr>
  </w:style>
  <w:style w:type="paragraph" w:customStyle="1" w:styleId="SOWHL2-ASDEFCON">
    <w:name w:val="SOW HL2 - ASDEFCON"/>
    <w:basedOn w:val="ASDEFCONNormal"/>
    <w:qFormat/>
    <w:rsid w:val="00F135C9"/>
    <w:pPr>
      <w:keepNext/>
      <w:numPr>
        <w:ilvl w:val="1"/>
        <w:numId w:val="6"/>
      </w:numPr>
      <w:pBdr>
        <w:bottom w:val="single" w:sz="4" w:space="1" w:color="auto"/>
      </w:pBdr>
    </w:pPr>
    <w:rPr>
      <w:rFonts w:eastAsia="Calibri"/>
      <w:b/>
      <w:szCs w:val="22"/>
      <w:lang w:eastAsia="en-US"/>
    </w:rPr>
  </w:style>
  <w:style w:type="paragraph" w:customStyle="1" w:styleId="SOWHL3-ASDEFCON">
    <w:name w:val="SOW HL3 - ASDEFCON"/>
    <w:basedOn w:val="ASDEFCONNormal"/>
    <w:qFormat/>
    <w:rsid w:val="00F135C9"/>
    <w:pPr>
      <w:keepNext/>
      <w:numPr>
        <w:ilvl w:val="2"/>
        <w:numId w:val="6"/>
      </w:numPr>
    </w:pPr>
    <w:rPr>
      <w:rFonts w:eastAsia="Calibri"/>
      <w:b/>
      <w:szCs w:val="22"/>
      <w:lang w:eastAsia="en-US"/>
    </w:rPr>
  </w:style>
  <w:style w:type="paragraph" w:customStyle="1" w:styleId="SOWHL4-ASDEFCON">
    <w:name w:val="SOW HL4 - ASDEFCON"/>
    <w:basedOn w:val="ASDEFCONNormal"/>
    <w:qFormat/>
    <w:rsid w:val="00F135C9"/>
    <w:pPr>
      <w:keepNext/>
      <w:numPr>
        <w:ilvl w:val="3"/>
        <w:numId w:val="6"/>
      </w:numPr>
    </w:pPr>
    <w:rPr>
      <w:rFonts w:eastAsia="Calibri"/>
      <w:b/>
      <w:szCs w:val="22"/>
      <w:lang w:eastAsia="en-US"/>
    </w:rPr>
  </w:style>
  <w:style w:type="paragraph" w:customStyle="1" w:styleId="SOWHL5-ASDEFCON">
    <w:name w:val="SOW HL5 - ASDEFCON"/>
    <w:basedOn w:val="ASDEFCONNormal"/>
    <w:qFormat/>
    <w:rsid w:val="00F135C9"/>
    <w:pPr>
      <w:keepNext/>
      <w:numPr>
        <w:ilvl w:val="4"/>
        <w:numId w:val="6"/>
      </w:numPr>
    </w:pPr>
    <w:rPr>
      <w:rFonts w:eastAsia="Calibri"/>
      <w:b/>
      <w:szCs w:val="22"/>
      <w:lang w:eastAsia="en-US"/>
    </w:rPr>
  </w:style>
  <w:style w:type="paragraph" w:customStyle="1" w:styleId="SOWSubL1-ASDEFCON">
    <w:name w:val="SOW SubL1 - ASDEFCON"/>
    <w:basedOn w:val="ASDEFCONNormal"/>
    <w:qFormat/>
    <w:rsid w:val="00F135C9"/>
    <w:pPr>
      <w:numPr>
        <w:ilvl w:val="5"/>
        <w:numId w:val="6"/>
      </w:numPr>
    </w:pPr>
    <w:rPr>
      <w:rFonts w:eastAsia="Calibri"/>
      <w:szCs w:val="22"/>
      <w:lang w:eastAsia="en-US"/>
    </w:rPr>
  </w:style>
  <w:style w:type="paragraph" w:customStyle="1" w:styleId="SOWHL1NONUM-ASDEFCON">
    <w:name w:val="SOW HL1 NONUM - ASDEFCON"/>
    <w:basedOn w:val="SOWHL1-ASDEFCON"/>
    <w:next w:val="SOWHL2-ASDEFCON"/>
    <w:rsid w:val="00F135C9"/>
    <w:pPr>
      <w:keepNext w:val="0"/>
      <w:numPr>
        <w:numId w:val="0"/>
      </w:numPr>
      <w:ind w:left="1134"/>
    </w:pPr>
    <w:rPr>
      <w:rFonts w:eastAsia="Times New Roman"/>
      <w:bCs/>
    </w:rPr>
  </w:style>
  <w:style w:type="paragraph" w:customStyle="1" w:styleId="SOWTL2NONUM-ASDEFCON">
    <w:name w:val="SOW TL2 NONUM - ASDEFCON"/>
    <w:basedOn w:val="SOWTL2-ASDEFCON"/>
    <w:next w:val="SOWTL2-ASDEFCON"/>
    <w:rsid w:val="00F135C9"/>
    <w:pPr>
      <w:numPr>
        <w:ilvl w:val="0"/>
        <w:numId w:val="0"/>
      </w:numPr>
      <w:ind w:left="1134"/>
    </w:pPr>
    <w:rPr>
      <w:rFonts w:eastAsia="Times New Roman"/>
      <w:bCs/>
      <w:szCs w:val="20"/>
    </w:rPr>
  </w:style>
  <w:style w:type="paragraph" w:customStyle="1" w:styleId="SOWTL2-ASDEFCON">
    <w:name w:val="SOW TL2 - ASDEFCON"/>
    <w:basedOn w:val="SOWHL2-ASDEFCON"/>
    <w:rsid w:val="00F135C9"/>
    <w:pPr>
      <w:keepNext w:val="0"/>
      <w:pBdr>
        <w:bottom w:val="none" w:sz="0" w:space="0" w:color="auto"/>
      </w:pBdr>
    </w:pPr>
    <w:rPr>
      <w:b w:val="0"/>
    </w:rPr>
  </w:style>
  <w:style w:type="paragraph" w:customStyle="1" w:styleId="SOWTL3NONUM-ASDEFCON">
    <w:name w:val="SOW TL3 NONUM - ASDEFCON"/>
    <w:basedOn w:val="SOWTL3-ASDEFCON"/>
    <w:next w:val="SOWTL3-ASDEFCON"/>
    <w:rsid w:val="00F135C9"/>
    <w:pPr>
      <w:numPr>
        <w:ilvl w:val="0"/>
        <w:numId w:val="0"/>
      </w:numPr>
      <w:ind w:left="1134"/>
    </w:pPr>
    <w:rPr>
      <w:rFonts w:eastAsia="Times New Roman"/>
      <w:bCs/>
      <w:szCs w:val="20"/>
    </w:rPr>
  </w:style>
  <w:style w:type="paragraph" w:customStyle="1" w:styleId="SOWTL3-ASDEFCON">
    <w:name w:val="SOW TL3 - ASDEFCON"/>
    <w:basedOn w:val="SOWHL3-ASDEFCON"/>
    <w:rsid w:val="00F135C9"/>
    <w:pPr>
      <w:keepNext w:val="0"/>
    </w:pPr>
    <w:rPr>
      <w:b w:val="0"/>
    </w:rPr>
  </w:style>
  <w:style w:type="paragraph" w:customStyle="1" w:styleId="SOWTL4NONUM-ASDEFCON">
    <w:name w:val="SOW TL4 NONUM - ASDEFCON"/>
    <w:basedOn w:val="SOWTL4-ASDEFCON"/>
    <w:next w:val="SOWTL4-ASDEFCON"/>
    <w:rsid w:val="00F135C9"/>
    <w:pPr>
      <w:numPr>
        <w:ilvl w:val="0"/>
        <w:numId w:val="0"/>
      </w:numPr>
      <w:ind w:left="1134"/>
    </w:pPr>
    <w:rPr>
      <w:rFonts w:eastAsia="Times New Roman"/>
      <w:bCs/>
      <w:szCs w:val="20"/>
    </w:rPr>
  </w:style>
  <w:style w:type="paragraph" w:customStyle="1" w:styleId="SOWTL4-ASDEFCON">
    <w:name w:val="SOW TL4 - ASDEFCON"/>
    <w:basedOn w:val="SOWHL4-ASDEFCON"/>
    <w:rsid w:val="00F135C9"/>
    <w:pPr>
      <w:keepNext w:val="0"/>
    </w:pPr>
    <w:rPr>
      <w:b w:val="0"/>
    </w:rPr>
  </w:style>
  <w:style w:type="paragraph" w:customStyle="1" w:styleId="SOWTL5NONUM-ASDEFCON">
    <w:name w:val="SOW TL5 NONUM - ASDEFCON"/>
    <w:basedOn w:val="SOWHL5-ASDEFCON"/>
    <w:next w:val="SOWTL5-ASDEFCON"/>
    <w:rsid w:val="00F135C9"/>
    <w:pPr>
      <w:keepNext w:val="0"/>
      <w:numPr>
        <w:ilvl w:val="0"/>
        <w:numId w:val="0"/>
      </w:numPr>
      <w:ind w:left="1134"/>
    </w:pPr>
    <w:rPr>
      <w:b w:val="0"/>
    </w:rPr>
  </w:style>
  <w:style w:type="paragraph" w:customStyle="1" w:styleId="SOWTL5-ASDEFCON">
    <w:name w:val="SOW TL5 - ASDEFCON"/>
    <w:basedOn w:val="SOWHL5-ASDEFCON"/>
    <w:rsid w:val="00F135C9"/>
    <w:pPr>
      <w:keepNext w:val="0"/>
    </w:pPr>
    <w:rPr>
      <w:b w:val="0"/>
    </w:rPr>
  </w:style>
  <w:style w:type="paragraph" w:customStyle="1" w:styleId="SOWSubL2-ASDEFCON">
    <w:name w:val="SOW SubL2 - ASDEFCON"/>
    <w:basedOn w:val="ASDEFCONNormal"/>
    <w:qFormat/>
    <w:rsid w:val="00F135C9"/>
    <w:pPr>
      <w:numPr>
        <w:ilvl w:val="6"/>
        <w:numId w:val="6"/>
      </w:numPr>
    </w:pPr>
    <w:rPr>
      <w:rFonts w:eastAsia="Calibri"/>
      <w:szCs w:val="22"/>
      <w:lang w:eastAsia="en-US"/>
    </w:rPr>
  </w:style>
  <w:style w:type="paragraph" w:customStyle="1" w:styleId="SOWSubL1NONUM-ASDEFCON">
    <w:name w:val="SOW SubL1 NONUM - ASDEFCON"/>
    <w:basedOn w:val="SOWSubL1-ASDEFCON"/>
    <w:next w:val="SOWSubL1-ASDEFCON"/>
    <w:qFormat/>
    <w:rsid w:val="00F135C9"/>
    <w:pPr>
      <w:numPr>
        <w:numId w:val="0"/>
      </w:numPr>
      <w:ind w:left="1701"/>
    </w:pPr>
  </w:style>
  <w:style w:type="paragraph" w:customStyle="1" w:styleId="SOWSubL2NONUM-ASDEFCON">
    <w:name w:val="SOW SubL2 NONUM - ASDEFCON"/>
    <w:basedOn w:val="SOWSubL2-ASDEFCON"/>
    <w:next w:val="SOWSubL2-ASDEFCON"/>
    <w:qFormat/>
    <w:rsid w:val="00F135C9"/>
    <w:pPr>
      <w:numPr>
        <w:ilvl w:val="0"/>
        <w:numId w:val="0"/>
      </w:numPr>
      <w:ind w:left="2268"/>
    </w:pPr>
  </w:style>
  <w:style w:type="paragraph" w:customStyle="1" w:styleId="ASDEFCONTextBlock">
    <w:name w:val="ASDEFCON TextBlock"/>
    <w:basedOn w:val="ASDEFCONNormal"/>
    <w:qFormat/>
    <w:rsid w:val="00F135C9"/>
    <w:pPr>
      <w:spacing w:before="60" w:after="60"/>
    </w:pPr>
    <w:rPr>
      <w:rFonts w:eastAsia="Calibri" w:cs="Arial"/>
      <w:b/>
      <w:sz w:val="24"/>
      <w:szCs w:val="24"/>
      <w:lang w:eastAsia="en-US"/>
    </w:rPr>
  </w:style>
  <w:style w:type="paragraph" w:customStyle="1" w:styleId="ATTANNListTableofContents-ASDEFCON">
    <w:name w:val="ATT/ANN List (Table of Contents) - ASDEFCON"/>
    <w:basedOn w:val="ASDEFCONNormal"/>
    <w:rsid w:val="00F135C9"/>
    <w:pPr>
      <w:numPr>
        <w:numId w:val="14"/>
      </w:numPr>
      <w:tabs>
        <w:tab w:val="clear" w:pos="397"/>
        <w:tab w:val="left" w:pos="567"/>
        <w:tab w:val="right" w:leader="dot" w:pos="9072"/>
      </w:tabs>
    </w:pPr>
  </w:style>
  <w:style w:type="paragraph" w:customStyle="1" w:styleId="ATTANNTitleListTableofContents-ASDEFCON">
    <w:name w:val="ATT/ANN Title List (Table of Contents) - ASDEFCON"/>
    <w:basedOn w:val="ASDEFCONNormal"/>
    <w:rsid w:val="00F135C9"/>
    <w:pPr>
      <w:keepNext/>
      <w:spacing w:before="240"/>
    </w:pPr>
    <w:rPr>
      <w:rFonts w:ascii="Arial Bold" w:hAnsi="Arial Bold"/>
      <w:b/>
      <w:bCs/>
      <w:caps/>
      <w:szCs w:val="20"/>
    </w:rPr>
  </w:style>
  <w:style w:type="paragraph" w:customStyle="1" w:styleId="Table8ptHeading-ASDEFCON">
    <w:name w:val="Table 8pt Heading - ASDEFCON"/>
    <w:basedOn w:val="ASDEFCONNormal"/>
    <w:rsid w:val="00F135C9"/>
    <w:pPr>
      <w:spacing w:before="60" w:after="60"/>
      <w:jc w:val="center"/>
    </w:pPr>
    <w:rPr>
      <w:rFonts w:eastAsia="Calibri"/>
      <w:b/>
      <w:sz w:val="16"/>
      <w:szCs w:val="16"/>
      <w:lang w:eastAsia="en-US"/>
    </w:rPr>
  </w:style>
  <w:style w:type="paragraph" w:customStyle="1" w:styleId="Table8ptText-ASDEFCON">
    <w:name w:val="Table 8pt Text - ASDEFCON"/>
    <w:basedOn w:val="ASDEFCONNormal"/>
    <w:rsid w:val="00F135C9"/>
    <w:pPr>
      <w:numPr>
        <w:numId w:val="23"/>
      </w:numPr>
      <w:spacing w:before="60" w:after="60"/>
    </w:pPr>
    <w:rPr>
      <w:rFonts w:eastAsia="Calibri"/>
      <w:sz w:val="16"/>
      <w:szCs w:val="16"/>
      <w:lang w:eastAsia="en-US"/>
    </w:rPr>
  </w:style>
  <w:style w:type="paragraph" w:customStyle="1" w:styleId="Table10ptText-ASDEFCON">
    <w:name w:val="Table 10pt Text - ASDEFCON"/>
    <w:basedOn w:val="ASDEFCONNormal"/>
    <w:link w:val="Table10ptText-ASDEFCONCharChar"/>
    <w:rsid w:val="00F135C9"/>
    <w:pPr>
      <w:numPr>
        <w:numId w:val="24"/>
      </w:numPr>
      <w:spacing w:before="60" w:after="60"/>
      <w:jc w:val="left"/>
    </w:pPr>
    <w:rPr>
      <w:rFonts w:eastAsia="Calibri"/>
      <w:szCs w:val="22"/>
      <w:lang w:eastAsia="en-US"/>
    </w:rPr>
  </w:style>
  <w:style w:type="character" w:customStyle="1" w:styleId="Table10ptText-ASDEFCONCharChar">
    <w:name w:val="Table 10pt Text - ASDEFCON Char Char"/>
    <w:link w:val="Table10ptText-ASDEFCON"/>
    <w:rsid w:val="00F135C9"/>
    <w:rPr>
      <w:rFonts w:ascii="Arial" w:eastAsia="Calibri" w:hAnsi="Arial"/>
      <w:color w:val="000000"/>
      <w:szCs w:val="22"/>
      <w:lang w:eastAsia="en-US"/>
    </w:rPr>
  </w:style>
  <w:style w:type="paragraph" w:customStyle="1" w:styleId="Table8ptSub1-ASDEFCON">
    <w:name w:val="Table 8pt Sub1 - ASDEFCON"/>
    <w:basedOn w:val="Table8ptText-ASDEFCON"/>
    <w:rsid w:val="00F135C9"/>
    <w:pPr>
      <w:numPr>
        <w:ilvl w:val="1"/>
      </w:numPr>
    </w:pPr>
  </w:style>
  <w:style w:type="paragraph" w:customStyle="1" w:styleId="Table8ptSub2-ASDEFCON">
    <w:name w:val="Table 8pt Sub2 - ASDEFCON"/>
    <w:basedOn w:val="Table8ptText-ASDEFCON"/>
    <w:rsid w:val="00F135C9"/>
    <w:pPr>
      <w:numPr>
        <w:ilvl w:val="2"/>
      </w:numPr>
    </w:pPr>
  </w:style>
  <w:style w:type="paragraph" w:customStyle="1" w:styleId="Table10ptHeading-ASDEFCON">
    <w:name w:val="Table 10pt Heading - ASDEFCON"/>
    <w:basedOn w:val="ASDEFCONNormal"/>
    <w:rsid w:val="00F135C9"/>
    <w:pPr>
      <w:keepNext/>
      <w:spacing w:before="60" w:after="60"/>
      <w:jc w:val="center"/>
    </w:pPr>
    <w:rPr>
      <w:b/>
    </w:rPr>
  </w:style>
  <w:style w:type="paragraph" w:customStyle="1" w:styleId="Table8ptBP1-ASDEFCON">
    <w:name w:val="Table 8pt BP1 - ASDEFCON"/>
    <w:basedOn w:val="Table8ptText-ASDEFCON"/>
    <w:rsid w:val="00F135C9"/>
    <w:pPr>
      <w:numPr>
        <w:numId w:val="15"/>
      </w:numPr>
    </w:pPr>
  </w:style>
  <w:style w:type="paragraph" w:customStyle="1" w:styleId="Table8ptBP2-ASDEFCON">
    <w:name w:val="Table 8pt BP2 - ASDEFCON"/>
    <w:basedOn w:val="Table8ptText-ASDEFCON"/>
    <w:rsid w:val="00F135C9"/>
    <w:pPr>
      <w:numPr>
        <w:ilvl w:val="1"/>
        <w:numId w:val="15"/>
      </w:numPr>
      <w:tabs>
        <w:tab w:val="clear" w:pos="284"/>
      </w:tabs>
    </w:pPr>
    <w:rPr>
      <w:iCs/>
    </w:rPr>
  </w:style>
  <w:style w:type="paragraph" w:customStyle="1" w:styleId="ASDEFCONBulletsLV1">
    <w:name w:val="ASDEFCON Bullets LV1"/>
    <w:basedOn w:val="ASDEFCONNormal"/>
    <w:rsid w:val="00F135C9"/>
    <w:pPr>
      <w:numPr>
        <w:numId w:val="17"/>
      </w:numPr>
    </w:pPr>
    <w:rPr>
      <w:rFonts w:eastAsia="Calibri"/>
      <w:szCs w:val="22"/>
      <w:lang w:eastAsia="en-US"/>
    </w:rPr>
  </w:style>
  <w:style w:type="paragraph" w:customStyle="1" w:styleId="Table10ptSub1-ASDEFCON">
    <w:name w:val="Table 10pt Sub1 - ASDEFCON"/>
    <w:basedOn w:val="Table10ptText-ASDEFCON"/>
    <w:rsid w:val="00F135C9"/>
    <w:pPr>
      <w:numPr>
        <w:ilvl w:val="1"/>
      </w:numPr>
      <w:jc w:val="both"/>
    </w:pPr>
  </w:style>
  <w:style w:type="paragraph" w:customStyle="1" w:styleId="Table10ptSub2-ASDEFCON">
    <w:name w:val="Table 10pt Sub2 - ASDEFCON"/>
    <w:basedOn w:val="Table10ptText-ASDEFCON"/>
    <w:rsid w:val="00F135C9"/>
    <w:pPr>
      <w:numPr>
        <w:ilvl w:val="2"/>
      </w:numPr>
      <w:jc w:val="both"/>
    </w:pPr>
  </w:style>
  <w:style w:type="paragraph" w:customStyle="1" w:styleId="ASDEFCONBulletsLV2">
    <w:name w:val="ASDEFCON Bullets LV2"/>
    <w:basedOn w:val="ASDEFCONNormal"/>
    <w:rsid w:val="00F135C9"/>
    <w:pPr>
      <w:numPr>
        <w:numId w:val="2"/>
      </w:numPr>
    </w:pPr>
  </w:style>
  <w:style w:type="paragraph" w:customStyle="1" w:styleId="Table10ptBP1-ASDEFCON">
    <w:name w:val="Table 10pt BP1 - ASDEFCON"/>
    <w:basedOn w:val="ASDEFCONNormal"/>
    <w:rsid w:val="00F135C9"/>
    <w:pPr>
      <w:numPr>
        <w:numId w:val="21"/>
      </w:numPr>
      <w:spacing w:before="60" w:after="60"/>
    </w:pPr>
  </w:style>
  <w:style w:type="paragraph" w:customStyle="1" w:styleId="Table10ptBP2-ASDEFCON">
    <w:name w:val="Table 10pt BP2 - ASDEFCON"/>
    <w:basedOn w:val="ASDEFCONNormal"/>
    <w:link w:val="Table10ptBP2-ASDEFCONCharChar"/>
    <w:rsid w:val="00F135C9"/>
    <w:pPr>
      <w:numPr>
        <w:ilvl w:val="1"/>
        <w:numId w:val="21"/>
      </w:numPr>
      <w:spacing w:before="60" w:after="60"/>
    </w:pPr>
  </w:style>
  <w:style w:type="character" w:customStyle="1" w:styleId="Table10ptBP2-ASDEFCONCharChar">
    <w:name w:val="Table 10pt BP2 - ASDEFCON Char Char"/>
    <w:link w:val="Table10ptBP2-ASDEFCON"/>
    <w:rsid w:val="00F135C9"/>
    <w:rPr>
      <w:rFonts w:ascii="Arial" w:hAnsi="Arial"/>
      <w:color w:val="000000"/>
      <w:szCs w:val="40"/>
    </w:rPr>
  </w:style>
  <w:style w:type="paragraph" w:customStyle="1" w:styleId="GuideMarginHead-ASDEFCON">
    <w:name w:val="Guide Margin Head - ASDEFCON"/>
    <w:basedOn w:val="ASDEFCONNormal"/>
    <w:rsid w:val="00F135C9"/>
    <w:pPr>
      <w:tabs>
        <w:tab w:val="left" w:pos="1701"/>
      </w:tabs>
      <w:ind w:left="1701" w:hanging="1701"/>
    </w:pPr>
    <w:rPr>
      <w:rFonts w:eastAsia="Calibri"/>
      <w:szCs w:val="22"/>
      <w:lang w:eastAsia="en-US"/>
    </w:rPr>
  </w:style>
  <w:style w:type="paragraph" w:customStyle="1" w:styleId="GuideText-ASDEFCON">
    <w:name w:val="Guide Text - ASDEFCON"/>
    <w:basedOn w:val="ASDEFCONNormal"/>
    <w:rsid w:val="00F135C9"/>
    <w:pPr>
      <w:ind w:left="1680"/>
    </w:pPr>
    <w:rPr>
      <w:lang w:eastAsia="en-US"/>
    </w:rPr>
  </w:style>
  <w:style w:type="paragraph" w:customStyle="1" w:styleId="GuideSublistLv1-ASDEFCON">
    <w:name w:val="Guide Sublist Lv1 - ASDEFCON"/>
    <w:basedOn w:val="ASDEFCONNormal"/>
    <w:qFormat/>
    <w:rsid w:val="00F135C9"/>
    <w:pPr>
      <w:numPr>
        <w:numId w:val="25"/>
      </w:numPr>
    </w:pPr>
    <w:rPr>
      <w:rFonts w:eastAsia="Calibri"/>
      <w:szCs w:val="22"/>
      <w:lang w:eastAsia="en-US"/>
    </w:rPr>
  </w:style>
  <w:style w:type="paragraph" w:customStyle="1" w:styleId="GuideBullets-ASDEFCON">
    <w:name w:val="Guide Bullets - ASDEFCON"/>
    <w:basedOn w:val="ASDEFCONNormal"/>
    <w:rsid w:val="00F135C9"/>
    <w:pPr>
      <w:numPr>
        <w:ilvl w:val="6"/>
        <w:numId w:val="16"/>
      </w:numPr>
    </w:pPr>
    <w:rPr>
      <w:rFonts w:eastAsia="Calibri"/>
      <w:szCs w:val="22"/>
      <w:lang w:eastAsia="en-US"/>
    </w:rPr>
  </w:style>
  <w:style w:type="paragraph" w:customStyle="1" w:styleId="GuideLV2Head-ASDEFCON">
    <w:name w:val="Guide LV2 Head - ASDEFCON"/>
    <w:basedOn w:val="ASDEFCONNormal"/>
    <w:next w:val="GuideText-ASDEFCON"/>
    <w:rsid w:val="00F135C9"/>
    <w:pPr>
      <w:keepNext/>
      <w:pBdr>
        <w:bottom w:val="single" w:sz="4" w:space="1" w:color="auto"/>
      </w:pBdr>
    </w:pPr>
    <w:rPr>
      <w:rFonts w:eastAsia="Calibri"/>
      <w:b/>
      <w:szCs w:val="22"/>
      <w:lang w:eastAsia="en-US"/>
    </w:rPr>
  </w:style>
  <w:style w:type="paragraph" w:customStyle="1" w:styleId="GuideLV1Head-ASDEFCON">
    <w:name w:val="Guide LV1 Head - ASDEFCON"/>
    <w:basedOn w:val="ASDEFCONNormal"/>
    <w:next w:val="GuideLV2Head-ASDEFCON"/>
    <w:qFormat/>
    <w:rsid w:val="00F135C9"/>
    <w:pPr>
      <w:keepNext/>
      <w:spacing w:before="240"/>
    </w:pPr>
    <w:rPr>
      <w:rFonts w:eastAsia="Calibri"/>
      <w:b/>
      <w:caps/>
      <w:szCs w:val="20"/>
      <w:lang w:eastAsia="en-US"/>
    </w:rPr>
  </w:style>
  <w:style w:type="paragraph" w:customStyle="1" w:styleId="ASDEFCONSublist">
    <w:name w:val="ASDEFCON Sublist"/>
    <w:basedOn w:val="ASDEFCONNormal"/>
    <w:rsid w:val="00F135C9"/>
    <w:pPr>
      <w:numPr>
        <w:numId w:val="26"/>
      </w:numPr>
    </w:pPr>
    <w:rPr>
      <w:iCs/>
    </w:rPr>
  </w:style>
  <w:style w:type="paragraph" w:customStyle="1" w:styleId="ASDEFCONRecitals">
    <w:name w:val="ASDEFCON Recitals"/>
    <w:basedOn w:val="ASDEFCONNormal"/>
    <w:link w:val="ASDEFCONRecitalsCharChar"/>
    <w:rsid w:val="00F135C9"/>
    <w:pPr>
      <w:numPr>
        <w:numId w:val="18"/>
      </w:numPr>
    </w:pPr>
  </w:style>
  <w:style w:type="character" w:customStyle="1" w:styleId="ASDEFCONRecitalsCharChar">
    <w:name w:val="ASDEFCON Recitals Char Char"/>
    <w:link w:val="ASDEFCONRecitals"/>
    <w:rsid w:val="00F135C9"/>
    <w:rPr>
      <w:rFonts w:ascii="Arial" w:hAnsi="Arial"/>
      <w:color w:val="000000"/>
      <w:szCs w:val="40"/>
    </w:rPr>
  </w:style>
  <w:style w:type="paragraph" w:customStyle="1" w:styleId="NoteList-ASDEFCON">
    <w:name w:val="Note List - ASDEFCON"/>
    <w:basedOn w:val="ASDEFCONNormal"/>
    <w:rsid w:val="00F135C9"/>
    <w:pPr>
      <w:numPr>
        <w:numId w:val="19"/>
      </w:numPr>
    </w:pPr>
    <w:rPr>
      <w:b/>
      <w:bCs/>
      <w:i/>
    </w:rPr>
  </w:style>
  <w:style w:type="paragraph" w:customStyle="1" w:styleId="NoteBullets-ASDEFCON">
    <w:name w:val="Note Bullets - ASDEFCON"/>
    <w:basedOn w:val="ASDEFCONNormal"/>
    <w:rsid w:val="00F135C9"/>
    <w:pPr>
      <w:numPr>
        <w:numId w:val="20"/>
      </w:numPr>
    </w:pPr>
    <w:rPr>
      <w:b/>
      <w:i/>
    </w:rPr>
  </w:style>
  <w:style w:type="paragraph" w:styleId="Caption">
    <w:name w:val="caption"/>
    <w:basedOn w:val="Normal"/>
    <w:next w:val="Normal"/>
    <w:qFormat/>
    <w:rsid w:val="00F135C9"/>
    <w:rPr>
      <w:b/>
      <w:bCs/>
      <w:szCs w:val="20"/>
    </w:rPr>
  </w:style>
  <w:style w:type="paragraph" w:customStyle="1" w:styleId="ASDEFCONOperativePartListLV1">
    <w:name w:val="ASDEFCON Operative Part List LV1"/>
    <w:basedOn w:val="ASDEFCONNormal"/>
    <w:rsid w:val="00F135C9"/>
    <w:pPr>
      <w:numPr>
        <w:numId w:val="22"/>
      </w:numPr>
    </w:pPr>
    <w:rPr>
      <w:iCs/>
    </w:rPr>
  </w:style>
  <w:style w:type="paragraph" w:customStyle="1" w:styleId="ASDEFCONOperativePartListLV2">
    <w:name w:val="ASDEFCON Operative Part List LV2"/>
    <w:basedOn w:val="ASDEFCONOperativePartListLV1"/>
    <w:rsid w:val="00F135C9"/>
    <w:pPr>
      <w:numPr>
        <w:ilvl w:val="1"/>
      </w:numPr>
    </w:pPr>
  </w:style>
  <w:style w:type="paragraph" w:customStyle="1" w:styleId="ASDEFCONOptionSpace">
    <w:name w:val="ASDEFCON Option Space"/>
    <w:basedOn w:val="ASDEFCONNormal"/>
    <w:rsid w:val="00F135C9"/>
    <w:pPr>
      <w:spacing w:after="0"/>
    </w:pPr>
    <w:rPr>
      <w:bCs/>
      <w:color w:val="FFFFFF"/>
      <w:sz w:val="8"/>
    </w:rPr>
  </w:style>
  <w:style w:type="paragraph" w:customStyle="1" w:styleId="ATTANNReferencetoCOC">
    <w:name w:val="ATT/ANN Reference to COC"/>
    <w:basedOn w:val="ASDEFCONNormal"/>
    <w:link w:val="ATTANNReferencetoCOCChar"/>
    <w:rsid w:val="00F135C9"/>
    <w:pPr>
      <w:keepNext/>
      <w:jc w:val="right"/>
    </w:pPr>
    <w:rPr>
      <w:i/>
      <w:iCs/>
      <w:szCs w:val="20"/>
    </w:rPr>
  </w:style>
  <w:style w:type="paragraph" w:customStyle="1" w:styleId="ASDEFCONHeaderFooterCenter">
    <w:name w:val="ASDEFCON Header/Footer Center"/>
    <w:basedOn w:val="ASDEFCONHeaderFooterLeft"/>
    <w:rsid w:val="00F135C9"/>
    <w:pPr>
      <w:jc w:val="center"/>
    </w:pPr>
    <w:rPr>
      <w:szCs w:val="20"/>
    </w:rPr>
  </w:style>
  <w:style w:type="paragraph" w:customStyle="1" w:styleId="ASDEFCONHeaderFooterRight">
    <w:name w:val="ASDEFCON Header/Footer Right"/>
    <w:basedOn w:val="ASDEFCONHeaderFooterLeft"/>
    <w:rsid w:val="00F135C9"/>
    <w:pPr>
      <w:jc w:val="right"/>
    </w:pPr>
    <w:rPr>
      <w:szCs w:val="20"/>
    </w:rPr>
  </w:style>
  <w:style w:type="paragraph" w:customStyle="1" w:styleId="ASDEFCONHeaderFooterClassification">
    <w:name w:val="ASDEFCON Header/Footer Classification"/>
    <w:basedOn w:val="ASDEFCONHeaderFooterLeft"/>
    <w:rsid w:val="00F135C9"/>
    <w:pPr>
      <w:jc w:val="center"/>
    </w:pPr>
    <w:rPr>
      <w:rFonts w:ascii="Arial Bold" w:hAnsi="Arial Bold"/>
      <w:b/>
      <w:bCs/>
      <w:caps/>
      <w:sz w:val="20"/>
    </w:rPr>
  </w:style>
  <w:style w:type="paragraph" w:customStyle="1" w:styleId="GuideLV3Head-ASDEFCON">
    <w:name w:val="Guide LV3 Head - ASDEFCON"/>
    <w:basedOn w:val="ASDEFCONNormal"/>
    <w:rsid w:val="00F135C9"/>
    <w:pPr>
      <w:keepNext/>
    </w:pPr>
    <w:rPr>
      <w:rFonts w:eastAsia="Calibri"/>
      <w:b/>
      <w:szCs w:val="22"/>
      <w:lang w:eastAsia="en-US"/>
    </w:rPr>
  </w:style>
  <w:style w:type="paragraph" w:customStyle="1" w:styleId="GuideSublistLv2-ASDEFCON">
    <w:name w:val="Guide Sublist Lv2 - ASDEFCON"/>
    <w:basedOn w:val="ASDEFCONNormal"/>
    <w:rsid w:val="00F135C9"/>
    <w:pPr>
      <w:numPr>
        <w:ilvl w:val="1"/>
        <w:numId w:val="25"/>
      </w:numPr>
    </w:pPr>
  </w:style>
  <w:style w:type="character" w:customStyle="1" w:styleId="Heading2Char">
    <w:name w:val="Heading 2 Char"/>
    <w:aliases w:val="Para2 Char,Head hdbk Char,Top 2 Char,h2 Char,H2 Char,h2 main heading Char,B Sub/Bold Char,B Sub/Bold1 Char,B Sub/Bold2 Char,B Sub/Bold11 Char,h2 main heading1 Char,h2 main heading2 Char,B Sub/Bold3 Char,B Sub/Bold12 Char,B Sub/Bold4 Char"/>
    <w:link w:val="Heading2"/>
    <w:rsid w:val="00F135C9"/>
    <w:rPr>
      <w:rFonts w:ascii="Cambria" w:hAnsi="Cambria"/>
      <w:b/>
      <w:bCs/>
      <w:color w:val="4F81BD"/>
      <w:sz w:val="26"/>
      <w:szCs w:val="26"/>
    </w:rPr>
  </w:style>
  <w:style w:type="paragraph" w:customStyle="1" w:styleId="ASDEFCONList">
    <w:name w:val="ASDEFCON List"/>
    <w:basedOn w:val="ASDEFCONNormal"/>
    <w:qFormat/>
    <w:rsid w:val="00F135C9"/>
    <w:pPr>
      <w:numPr>
        <w:numId w:val="27"/>
      </w:numPr>
    </w:pPr>
  </w:style>
  <w:style w:type="paragraph" w:customStyle="1" w:styleId="CoverPageTemplateTitle">
    <w:name w:val="Cover Page Template Title"/>
    <w:basedOn w:val="ASDEFCONCoverTitle"/>
    <w:link w:val="CoverPageTemplateTitleChar"/>
    <w:qFormat/>
    <w:rsid w:val="00607E46"/>
  </w:style>
  <w:style w:type="character" w:customStyle="1" w:styleId="CoverPageTemplateTitleChar">
    <w:name w:val="Cover Page Template Title Char"/>
    <w:link w:val="CoverPageTemplateTitle"/>
    <w:rsid w:val="00607E46"/>
    <w:rPr>
      <w:rFonts w:ascii="Georgia" w:hAnsi="Georgia"/>
      <w:b/>
      <w:color w:val="000000"/>
      <w:sz w:val="100"/>
      <w:szCs w:val="24"/>
    </w:rPr>
  </w:style>
  <w:style w:type="character" w:customStyle="1" w:styleId="Heading1Char">
    <w:name w:val="Heading 1 Char"/>
    <w:link w:val="Heading1"/>
    <w:rsid w:val="00732F04"/>
    <w:rPr>
      <w:rFonts w:ascii="Arial" w:hAnsi="Arial" w:cs="Arial"/>
      <w:b/>
      <w:bCs/>
      <w:kern w:val="32"/>
      <w:sz w:val="32"/>
      <w:szCs w:val="32"/>
    </w:rPr>
  </w:style>
  <w:style w:type="character" w:styleId="Emphasis">
    <w:name w:val="Emphasis"/>
    <w:qFormat/>
    <w:rsid w:val="00607E46"/>
    <w:rPr>
      <w:i/>
      <w:iCs/>
    </w:rPr>
  </w:style>
  <w:style w:type="paragraph" w:styleId="TOCHeading">
    <w:name w:val="TOC Heading"/>
    <w:basedOn w:val="Heading1"/>
    <w:next w:val="Normal"/>
    <w:uiPriority w:val="39"/>
    <w:semiHidden/>
    <w:unhideWhenUsed/>
    <w:qFormat/>
    <w:rsid w:val="00607E46"/>
    <w:pPr>
      <w:outlineLvl w:val="9"/>
    </w:pPr>
    <w:rPr>
      <w:rFonts w:ascii="Cambria" w:hAnsi="Cambria" w:cs="Times New Roman"/>
    </w:rPr>
  </w:style>
  <w:style w:type="paragraph" w:customStyle="1" w:styleId="TextLevel3">
    <w:name w:val="Text Level 3"/>
    <w:basedOn w:val="Normal"/>
    <w:rsid w:val="00D40EDA"/>
    <w:pPr>
      <w:numPr>
        <w:ilvl w:val="2"/>
        <w:numId w:val="29"/>
      </w:numPr>
    </w:pPr>
  </w:style>
  <w:style w:type="paragraph" w:customStyle="1" w:styleId="TextLevel5">
    <w:name w:val="Text Level 5"/>
    <w:basedOn w:val="Normal"/>
    <w:rsid w:val="00D40EDA"/>
    <w:pPr>
      <w:numPr>
        <w:ilvl w:val="8"/>
        <w:numId w:val="29"/>
      </w:numPr>
    </w:pPr>
  </w:style>
  <w:style w:type="paragraph" w:customStyle="1" w:styleId="HandbookLevel2Header">
    <w:name w:val="Handbook Level 2 Header"/>
    <w:basedOn w:val="Heading2"/>
    <w:autoRedefine/>
    <w:qFormat/>
    <w:rsid w:val="00CF2D63"/>
    <w:pPr>
      <w:pBdr>
        <w:top w:val="single" w:sz="4" w:space="1" w:color="E86D1F"/>
      </w:pBdr>
      <w:spacing w:after="240"/>
    </w:pPr>
    <w:rPr>
      <w:rFonts w:ascii="Arial Bold" w:hAnsi="Arial Bold"/>
      <w:color w:val="E86D1F"/>
      <w:sz w:val="20"/>
    </w:rPr>
  </w:style>
  <w:style w:type="character" w:customStyle="1" w:styleId="NoteToTenderers-ASDEFCONChar">
    <w:name w:val="Note To Tenderers - ASDEFCON Char"/>
    <w:link w:val="NoteToTenderers-ASDEFCON"/>
    <w:rsid w:val="00A81532"/>
    <w:rPr>
      <w:rFonts w:ascii="Arial" w:hAnsi="Arial"/>
      <w:b/>
      <w:i/>
      <w:color w:val="000000"/>
      <w:szCs w:val="40"/>
      <w:shd w:val="pct15" w:color="auto" w:fill="auto"/>
    </w:rPr>
  </w:style>
  <w:style w:type="paragraph" w:styleId="Subtitle">
    <w:name w:val="Subtitle"/>
    <w:basedOn w:val="Normal"/>
    <w:next w:val="Normal"/>
    <w:link w:val="SubtitleChar"/>
    <w:uiPriority w:val="99"/>
    <w:qFormat/>
    <w:rsid w:val="00732F04"/>
    <w:pPr>
      <w:numPr>
        <w:ilvl w:val="1"/>
      </w:numPr>
      <w:spacing w:before="120"/>
      <w:ind w:left="567"/>
    </w:pPr>
    <w:rPr>
      <w:rFonts w:ascii="Times New Roman" w:hAnsi="Times New Roman"/>
      <w:i/>
      <w:color w:val="003760"/>
      <w:spacing w:val="15"/>
      <w:szCs w:val="20"/>
    </w:rPr>
  </w:style>
  <w:style w:type="character" w:customStyle="1" w:styleId="SubtitleChar">
    <w:name w:val="Subtitle Char"/>
    <w:link w:val="Subtitle"/>
    <w:uiPriority w:val="99"/>
    <w:rsid w:val="00732F04"/>
    <w:rPr>
      <w:i/>
      <w:color w:val="003760"/>
      <w:spacing w:val="15"/>
    </w:rPr>
  </w:style>
  <w:style w:type="paragraph" w:customStyle="1" w:styleId="StyleTitleGeorgiaNotBoldLeft">
    <w:name w:val="Style Title + Georgia Not Bold Left"/>
    <w:basedOn w:val="Title"/>
    <w:qFormat/>
    <w:rsid w:val="00732F04"/>
    <w:pPr>
      <w:spacing w:before="0" w:after="240"/>
      <w:contextualSpacing/>
      <w:jc w:val="left"/>
      <w:outlineLvl w:val="9"/>
    </w:pPr>
    <w:rPr>
      <w:rFonts w:ascii="Georgia" w:hAnsi="Georgia"/>
      <w:b w:val="0"/>
      <w:bCs w:val="0"/>
      <w:color w:val="CF4520"/>
      <w:spacing w:val="5"/>
      <w:sz w:val="52"/>
      <w:szCs w:val="20"/>
      <w:lang w:val="en-US"/>
    </w:rPr>
  </w:style>
  <w:style w:type="paragraph" w:styleId="Title">
    <w:name w:val="Title"/>
    <w:basedOn w:val="Normal"/>
    <w:next w:val="Normal"/>
    <w:link w:val="TitleChar"/>
    <w:qFormat/>
    <w:rsid w:val="00732F04"/>
    <w:pPr>
      <w:spacing w:before="240" w:after="60"/>
      <w:jc w:val="center"/>
      <w:outlineLvl w:val="0"/>
    </w:pPr>
    <w:rPr>
      <w:rFonts w:ascii="Calibri Light" w:hAnsi="Calibri Light"/>
      <w:b/>
      <w:bCs/>
      <w:kern w:val="28"/>
      <w:sz w:val="32"/>
      <w:szCs w:val="32"/>
    </w:rPr>
  </w:style>
  <w:style w:type="character" w:customStyle="1" w:styleId="TitleChar">
    <w:name w:val="Title Char"/>
    <w:link w:val="Title"/>
    <w:rsid w:val="00732F04"/>
    <w:rPr>
      <w:rFonts w:ascii="Calibri Light" w:hAnsi="Calibri Light"/>
      <w:b/>
      <w:bCs/>
      <w:kern w:val="28"/>
      <w:sz w:val="32"/>
      <w:szCs w:val="32"/>
    </w:rPr>
  </w:style>
  <w:style w:type="character" w:customStyle="1" w:styleId="Heading3Char">
    <w:name w:val="Heading 3 Char"/>
    <w:aliases w:val="Para3 Char,head3hdbk Char,H3 Char,C Sub-Sub/Italic Char,h3 sub heading Char,Head 3 Char,Head 31 Char,Head 32 Char,C Sub-Sub/Italic1 Char,3 Char,Sub2Para Char,3 bullet Char,b Char,2 Char,(1) Char,Major Sections Char,subsub Char,Para 3 Char"/>
    <w:link w:val="Heading3"/>
    <w:uiPriority w:val="9"/>
    <w:rsid w:val="00732F04"/>
    <w:rPr>
      <w:rFonts w:ascii="Arial" w:hAnsi="Arial"/>
      <w:b/>
      <w:bCs/>
      <w:i/>
      <w:color w:val="CF4520"/>
      <w:sz w:val="24"/>
      <w:szCs w:val="24"/>
    </w:rPr>
  </w:style>
  <w:style w:type="character" w:customStyle="1" w:styleId="Heading4Char">
    <w:name w:val="Heading 4 Char"/>
    <w:aliases w:val="Para4 Char,h4 Char,4 dash Char,d Char,(a) Char,Para 4 Char,h41 Char,h42 Char,h411 Char,h43 Char,h412 Char,h44 Char,h413 Char,h45 Char,h414 Char,h46 Char,h415 Char,h47 Char,h416 Char,h421 Char,h4111 Char,h431 Char,h4121 Char,h441 Char"/>
    <w:link w:val="Heading4"/>
    <w:uiPriority w:val="9"/>
    <w:rsid w:val="00732F04"/>
    <w:rPr>
      <w:rFonts w:ascii="Arial" w:hAnsi="Arial"/>
      <w:b/>
      <w:bCs/>
      <w:i/>
      <w:iCs/>
      <w:szCs w:val="24"/>
    </w:rPr>
  </w:style>
  <w:style w:type="paragraph" w:customStyle="1" w:styleId="Bullet">
    <w:name w:val="Bullet"/>
    <w:basedOn w:val="ListParagraph"/>
    <w:qFormat/>
    <w:rsid w:val="00732F04"/>
    <w:pPr>
      <w:numPr>
        <w:numId w:val="44"/>
      </w:numPr>
      <w:tabs>
        <w:tab w:val="left" w:pos="567"/>
      </w:tabs>
      <w:jc w:val="left"/>
    </w:pPr>
  </w:style>
  <w:style w:type="paragraph" w:styleId="ListParagraph">
    <w:name w:val="List Paragraph"/>
    <w:basedOn w:val="Normal"/>
    <w:uiPriority w:val="34"/>
    <w:qFormat/>
    <w:rsid w:val="00732F04"/>
    <w:pPr>
      <w:ind w:left="720"/>
    </w:pPr>
  </w:style>
  <w:style w:type="paragraph" w:customStyle="1" w:styleId="Bullet2">
    <w:name w:val="Bullet 2"/>
    <w:basedOn w:val="Normal"/>
    <w:rsid w:val="00732F04"/>
    <w:pPr>
      <w:numPr>
        <w:numId w:val="30"/>
      </w:numPr>
      <w:tabs>
        <w:tab w:val="left" w:pos="1134"/>
        <w:tab w:val="left" w:pos="1701"/>
      </w:tabs>
      <w:contextualSpacing/>
      <w:jc w:val="left"/>
    </w:pPr>
  </w:style>
  <w:style w:type="character" w:customStyle="1" w:styleId="ATTANNReferencetoCOCChar">
    <w:name w:val="ATT/ANN Reference to COC Char"/>
    <w:link w:val="ATTANNReferencetoCOC"/>
    <w:rsid w:val="009A18A8"/>
    <w:rPr>
      <w:rFonts w:ascii="Arial" w:hAnsi="Arial"/>
      <w:i/>
      <w:iCs/>
      <w:color w:val="000000"/>
    </w:rPr>
  </w:style>
  <w:style w:type="paragraph" w:styleId="Revision">
    <w:name w:val="Revision"/>
    <w:hidden/>
    <w:uiPriority w:val="99"/>
    <w:semiHidden/>
    <w:rsid w:val="003A600E"/>
    <w:rPr>
      <w:rFonts w:ascii="Arial" w:hAnsi="Arial"/>
      <w:szCs w:val="24"/>
    </w:rPr>
  </w:style>
  <w:style w:type="character" w:customStyle="1" w:styleId="CommentTextChar">
    <w:name w:val="Comment Text Char"/>
    <w:link w:val="CommentText"/>
    <w:semiHidden/>
    <w:rsid w:val="00B10547"/>
    <w:rPr>
      <w:rFonts w:ascii="Arial" w:hAnsi="Arial"/>
      <w:szCs w:val="24"/>
    </w:rPr>
  </w:style>
  <w:style w:type="character" w:customStyle="1" w:styleId="NoteToDrafters-ASDEFCONChar">
    <w:name w:val="Note To Drafters - ASDEFCON Char"/>
    <w:link w:val="NoteToDrafters-ASDEFCON"/>
    <w:rsid w:val="00B10547"/>
    <w:rPr>
      <w:rFonts w:ascii="Arial" w:hAnsi="Arial"/>
      <w:b/>
      <w:i/>
      <w:color w:val="FFFFFF"/>
      <w:szCs w:val="40"/>
      <w:shd w:val="clear" w:color="auto" w:fil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ExportControls@defence.gov.au"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finance.gov.au/sites/default/files/2024-07/consideration-of-broader-economic-benefits-in-procurement_july-2024.pdf"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defence.gov.au/business-industry/procurement/policies-guidelines-templates/procurement-guidance/intellectual-property-framework"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defence.gov.au/business-industry/procurement/policies-guidelines-templates/procurement-guidance/liability-risk-management" TargetMode="External"/><Relationship Id="rId4" Type="http://schemas.openxmlformats.org/officeDocument/2006/relationships/settings" Target="settings.xml"/><Relationship Id="rId9" Type="http://schemas.openxmlformats.org/officeDocument/2006/relationships/hyperlink" Target="https://www.defence.gov.au/business-industry/export/controls" TargetMode="Externa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ristian.laursen\AppData\Roaming\Microsoft\Templates\ASDEFCON%20Style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60FBCDA-C590-4089-8252-05D860EB1D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ASDEFCON Styles.dot</Template>
  <TotalTime>93</TotalTime>
  <Pages>3</Pages>
  <Words>1589</Words>
  <Characters>9329</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ASDEFCON (Support)</vt:lpstr>
    </vt:vector>
  </TitlesOfParts>
  <Company>Department of Defence</Company>
  <LinksUpToDate>false</LinksUpToDate>
  <CharactersWithSpaces>10897</CharactersWithSpaces>
  <SharedDoc>false</SharedDoc>
  <HLinks>
    <vt:vector size="42" baseType="variant">
      <vt:variant>
        <vt:i4>65553</vt:i4>
      </vt:variant>
      <vt:variant>
        <vt:i4>21</vt:i4>
      </vt:variant>
      <vt:variant>
        <vt:i4>0</vt:i4>
      </vt:variant>
      <vt:variant>
        <vt:i4>5</vt:i4>
      </vt:variant>
      <vt:variant>
        <vt:lpwstr>http://www.defence.gov.au/casg/DoingBusiness/ProcurementDefence/ContractingWithDefence/PoliciesGuidelinesTemplates/ProcurementPolicy/ip.aspx</vt:lpwstr>
      </vt:variant>
      <vt:variant>
        <vt:lpwstr/>
      </vt:variant>
      <vt:variant>
        <vt:i4>327681</vt:i4>
      </vt:variant>
      <vt:variant>
        <vt:i4>15</vt:i4>
      </vt:variant>
      <vt:variant>
        <vt:i4>0</vt:i4>
      </vt:variant>
      <vt:variant>
        <vt:i4>5</vt:i4>
      </vt:variant>
      <vt:variant>
        <vt:lpwstr>http://www.defence.gov.au/casg/DoingBusiness/ProcurementDefence/ContractingWithDefence/PoliciesGuidelinesTemplates/ProcurementGuidance/ACIP.aspx</vt:lpwstr>
      </vt:variant>
      <vt:variant>
        <vt:lpwstr/>
      </vt:variant>
      <vt:variant>
        <vt:i4>786448</vt:i4>
      </vt:variant>
      <vt:variant>
        <vt:i4>12</vt:i4>
      </vt:variant>
      <vt:variant>
        <vt:i4>0</vt:i4>
      </vt:variant>
      <vt:variant>
        <vt:i4>5</vt:i4>
      </vt:variant>
      <vt:variant>
        <vt:lpwstr>http://www.defence.gov.au/casg/DoingBusiness/ProcurementDefence/ContractingWithDefence/PoliciesGuidelinesTemplates/ProcurementGuidance/lrmp.aspx</vt:lpwstr>
      </vt:variant>
      <vt:variant>
        <vt:lpwstr/>
      </vt:variant>
      <vt:variant>
        <vt:i4>786448</vt:i4>
      </vt:variant>
      <vt:variant>
        <vt:i4>9</vt:i4>
      </vt:variant>
      <vt:variant>
        <vt:i4>0</vt:i4>
      </vt:variant>
      <vt:variant>
        <vt:i4>5</vt:i4>
      </vt:variant>
      <vt:variant>
        <vt:lpwstr>http://www.defence.gov.au/casg/DoingBusiness/ProcurementDefence/ContractingWithDefence/PoliciesGuidelinesTemplates/ProcurementGuidance/lrmp.aspx</vt:lpwstr>
      </vt:variant>
      <vt:variant>
        <vt:lpwstr/>
      </vt:variant>
      <vt:variant>
        <vt:i4>7733280</vt:i4>
      </vt:variant>
      <vt:variant>
        <vt:i4>6</vt:i4>
      </vt:variant>
      <vt:variant>
        <vt:i4>0</vt:i4>
      </vt:variant>
      <vt:variant>
        <vt:i4>5</vt:i4>
      </vt:variant>
      <vt:variant>
        <vt:lpwstr>http://drnet.defence.gov.au/DMO/Commercial/Undertaking Procurement in Defence/Pages/Liability-Risk-Management.aspx</vt:lpwstr>
      </vt:variant>
      <vt:variant>
        <vt:lpwstr/>
      </vt:variant>
      <vt:variant>
        <vt:i4>1638493</vt:i4>
      </vt:variant>
      <vt:variant>
        <vt:i4>3</vt:i4>
      </vt:variant>
      <vt:variant>
        <vt:i4>0</vt:i4>
      </vt:variant>
      <vt:variant>
        <vt:i4>5</vt:i4>
      </vt:variant>
      <vt:variant>
        <vt:lpwstr>http://www.defence.gov.au/ExportControls/</vt:lpwstr>
      </vt:variant>
      <vt:variant>
        <vt:lpwstr/>
      </vt:variant>
      <vt:variant>
        <vt:i4>6029369</vt:i4>
      </vt:variant>
      <vt:variant>
        <vt:i4>0</vt:i4>
      </vt:variant>
      <vt:variant>
        <vt:i4>0</vt:i4>
      </vt:variant>
      <vt:variant>
        <vt:i4>5</vt:i4>
      </vt:variant>
      <vt:variant>
        <vt:lpwstr>mailto:deco@defence.gov.au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ASDEFCON (Support)</dc:title>
  <dc:subject>Annex to Conditions of Tender</dc:subject>
  <dc:creator>ASDEFCON and Contracting Initiatives</dc:creator>
  <cp:lastModifiedBy>Laursen, Christian MR</cp:lastModifiedBy>
  <cp:revision>19</cp:revision>
  <cp:lastPrinted>2019-03-22T02:43:00Z</cp:lastPrinted>
  <dcterms:created xsi:type="dcterms:W3CDTF">2024-01-03T23:40:00Z</dcterms:created>
  <dcterms:modified xsi:type="dcterms:W3CDTF">2024-08-22T01:17:00Z</dcterms:modified>
  <cp:category>PART 1</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vt:lpwstr>V5.2</vt:lpwstr>
  </property>
  <property fmtid="{D5CDD505-2E9C-101B-9397-08002B2CF9AE}" pid="3" name="Objective-Id">
    <vt:lpwstr>BM75423578</vt:lpwstr>
  </property>
  <property fmtid="{D5CDD505-2E9C-101B-9397-08002B2CF9AE}" pid="4" name="Objective-Title">
    <vt:lpwstr>008_SPTV5.2_TATTA_ANNC_Commercial</vt:lpwstr>
  </property>
  <property fmtid="{D5CDD505-2E9C-101B-9397-08002B2CF9AE}" pid="5" name="Objective-Comment">
    <vt:lpwstr/>
  </property>
  <property fmtid="{D5CDD505-2E9C-101B-9397-08002B2CF9AE}" pid="6" name="Objective-CreationStamp">
    <vt:filetime>2024-05-29T05:21:09Z</vt:filetime>
  </property>
  <property fmtid="{D5CDD505-2E9C-101B-9397-08002B2CF9AE}" pid="7" name="Objective-IsApproved">
    <vt:bool>false</vt:bool>
  </property>
  <property fmtid="{D5CDD505-2E9C-101B-9397-08002B2CF9AE}" pid="8" name="Objective-IsPublished">
    <vt:bool>false</vt:bool>
  </property>
  <property fmtid="{D5CDD505-2E9C-101B-9397-08002B2CF9AE}" pid="9" name="Objective-DatePublished">
    <vt:lpwstr/>
  </property>
  <property fmtid="{D5CDD505-2E9C-101B-9397-08002B2CF9AE}" pid="10" name="Objective-ModificationStamp">
    <vt:filetime>2024-08-09T01:27:47Z</vt:filetime>
  </property>
  <property fmtid="{D5CDD505-2E9C-101B-9397-08002B2CF9AE}" pid="11" name="Objective-Owner">
    <vt:lpwstr>Daly, Mark Mr 3</vt:lpwstr>
  </property>
  <property fmtid="{D5CDD505-2E9C-101B-9397-08002B2CF9AE}" pid="12" name="Objective-Path">
    <vt:lpwstr>Objective Global Folder - PROD:Defence Business Units:Capability Acquisition and Sustainment Group:Commercial Division:CPP : Commercial Policy and Practice:Commercial Policy Practice (CPP):03 ASDEFCON &amp; Contracting Initiatives (ACI) Directorate:01 ASDEFCO</vt:lpwstr>
  </property>
  <property fmtid="{D5CDD505-2E9C-101B-9397-08002B2CF9AE}" pid="13" name="Objective-Parent">
    <vt:lpwstr>02 Annexes to the Conditions of Tender</vt:lpwstr>
  </property>
  <property fmtid="{D5CDD505-2E9C-101B-9397-08002B2CF9AE}" pid="14" name="Objective-State">
    <vt:lpwstr>Being Edited</vt:lpwstr>
  </property>
  <property fmtid="{D5CDD505-2E9C-101B-9397-08002B2CF9AE}" pid="15" name="Objective-Version">
    <vt:lpwstr>1.4</vt:lpwstr>
  </property>
  <property fmtid="{D5CDD505-2E9C-101B-9397-08002B2CF9AE}" pid="16" name="Objective-VersionNumber">
    <vt:i4>5</vt:i4>
  </property>
  <property fmtid="{D5CDD505-2E9C-101B-9397-08002B2CF9AE}" pid="17" name="Objective-VersionComment">
    <vt:lpwstr/>
  </property>
  <property fmtid="{D5CDD505-2E9C-101B-9397-08002B2CF9AE}" pid="18" name="Objective-FileNumber">
    <vt:lpwstr/>
  </property>
  <property fmtid="{D5CDD505-2E9C-101B-9397-08002B2CF9AE}" pid="19" name="Objective-Classification">
    <vt:lpwstr>Official</vt:lpwstr>
  </property>
  <property fmtid="{D5CDD505-2E9C-101B-9397-08002B2CF9AE}" pid="20" name="Objective-Caveats">
    <vt:lpwstr/>
  </property>
  <property fmtid="{D5CDD505-2E9C-101B-9397-08002B2CF9AE}" pid="21" name="Objective-Document Type [system]">
    <vt:lpwstr/>
  </property>
  <property fmtid="{D5CDD505-2E9C-101B-9397-08002B2CF9AE}" pid="22" name="Header_Left">
    <vt:lpwstr>ASDEFCON (Support)</vt:lpwstr>
  </property>
  <property fmtid="{D5CDD505-2E9C-101B-9397-08002B2CF9AE}" pid="23" name="Header_Right">
    <vt:lpwstr>PART 1</vt:lpwstr>
  </property>
  <property fmtid="{D5CDD505-2E9C-101B-9397-08002B2CF9AE}" pid="24" name="Footer_Left">
    <vt:lpwstr>Annex to Conditions of Tender</vt:lpwstr>
  </property>
  <property fmtid="{D5CDD505-2E9C-101B-9397-08002B2CF9AE}" pid="25" name="Classification">
    <vt:lpwstr>OFFICIAL</vt:lpwstr>
  </property>
  <property fmtid="{D5CDD505-2E9C-101B-9397-08002B2CF9AE}" pid="26" name="Objective-Reason for Security Classification Change [system]">
    <vt:lpwstr/>
  </property>
</Properties>
</file>