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21F8E" w14:textId="77777777" w:rsidR="0052363C" w:rsidRPr="00B863F7" w:rsidRDefault="007659A3" w:rsidP="00A4122B">
      <w:pPr>
        <w:pStyle w:val="ASDEFCONTitle"/>
      </w:pPr>
      <w:bookmarkStart w:id="0" w:name="_Toc3104938"/>
      <w:bookmarkStart w:id="1" w:name="_Toc3106526"/>
      <w:r w:rsidRPr="00B863F7">
        <w:t>SCHEDULE OF APPROVED SUBCONTRACTORS (</w:t>
      </w:r>
      <w:r>
        <w:t>RFT Core</w:t>
      </w:r>
      <w:r w:rsidRPr="00B863F7">
        <w:t>)</w:t>
      </w:r>
      <w:bookmarkEnd w:id="0"/>
      <w:bookmarkEnd w:id="1"/>
    </w:p>
    <w:p w14:paraId="54B15729" w14:textId="68187613" w:rsidR="00642EBA" w:rsidRDefault="007659A3" w:rsidP="00551479">
      <w:pPr>
        <w:pStyle w:val="NoteToDrafters-ASDEFCON"/>
      </w:pPr>
      <w:r>
        <w:t xml:space="preserve">Note to drafters:  </w:t>
      </w:r>
      <w:r w:rsidR="00FC26AE">
        <w:t xml:space="preserve">Update the following table to list the Approved Subcontractors identified in accordance with clause 11.9 of the COC.  </w:t>
      </w:r>
      <w:r>
        <w:t xml:space="preserve">In finalising the preparation of Attachment I, drafters should </w:t>
      </w:r>
      <w:proofErr w:type="gramStart"/>
      <w:r>
        <w:t>specifically</w:t>
      </w:r>
      <w:proofErr w:type="gramEnd"/>
      <w:r>
        <w:t xml:space="preserve"> capture </w:t>
      </w:r>
      <w:r w:rsidR="00FC26AE">
        <w:t xml:space="preserve">(under Comments/Exclusions) </w:t>
      </w:r>
      <w:r>
        <w:t>where the Commonwealth has agreed</w:t>
      </w:r>
      <w:r w:rsidR="00225042">
        <w:t>, in accordance with clause 11.9.5 of the COC,</w:t>
      </w:r>
      <w:r>
        <w:t xml:space="preserve"> that Approved Subcontractor status does not require compliance with certain Contract provisions for certain Approved Subcontractors.  </w:t>
      </w:r>
    </w:p>
    <w:p w14:paraId="3269B229" w14:textId="424F7675" w:rsidR="005339AF" w:rsidRPr="00871871" w:rsidRDefault="007659A3" w:rsidP="00551479">
      <w:pPr>
        <w:pStyle w:val="NoteToTenderers-ASDEFCON"/>
      </w:pPr>
      <w:r>
        <w:t xml:space="preserve">Note to tenderers:  </w:t>
      </w:r>
      <w:r w:rsidR="009327B1">
        <w:t>The schedule of Approved Subcontractors</w:t>
      </w:r>
      <w:r>
        <w:t xml:space="preserve"> </w:t>
      </w:r>
      <w:proofErr w:type="gramStart"/>
      <w:r w:rsidRPr="00B863F7">
        <w:t xml:space="preserve">will </w:t>
      </w:r>
      <w:r w:rsidR="009327B1">
        <w:t>be based</w:t>
      </w:r>
      <w:proofErr w:type="gramEnd"/>
      <w:r w:rsidR="009327B1">
        <w:t xml:space="preserve"> on </w:t>
      </w:r>
      <w:r w:rsidRPr="00B863F7">
        <w:t>the successful tenderer’s response</w:t>
      </w:r>
      <w:r w:rsidR="009327B1">
        <w:t xml:space="preserve"> to</w:t>
      </w:r>
      <w:r w:rsidR="009327B1" w:rsidRPr="00FF045F">
        <w:t xml:space="preserve"> </w:t>
      </w:r>
      <w:r w:rsidR="009327B1">
        <w:t xml:space="preserve">TDR </w:t>
      </w:r>
      <w:r w:rsidR="009327B1" w:rsidRPr="00FF045F">
        <w:t>A-3,</w:t>
      </w:r>
      <w:r w:rsidR="009327B1">
        <w:t xml:space="preserve"> and any negotiated changes</w:t>
      </w:r>
      <w:r w:rsidRPr="00B863F7">
        <w:t xml:space="preserve">. </w:t>
      </w:r>
    </w:p>
    <w:p w14:paraId="1BE4A8D0" w14:textId="77777777" w:rsidR="00196EF8" w:rsidRPr="00551479" w:rsidRDefault="007659A3" w:rsidP="00F44800">
      <w:pPr>
        <w:pStyle w:val="Caption"/>
        <w:jc w:val="center"/>
      </w:pPr>
      <w:r w:rsidRPr="00551479">
        <w:t>Table I-1: Schedule of Approved Subcontractors</w:t>
      </w:r>
    </w:p>
    <w:tbl>
      <w:tblPr>
        <w:tblW w:w="14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1300"/>
        <w:gridCol w:w="2796"/>
        <w:gridCol w:w="1536"/>
        <w:gridCol w:w="1564"/>
        <w:gridCol w:w="1624"/>
        <w:gridCol w:w="3498"/>
      </w:tblGrid>
      <w:tr w:rsidR="0060497A" w14:paraId="364736B7" w14:textId="77777777" w:rsidTr="0060497A">
        <w:tc>
          <w:tcPr>
            <w:tcW w:w="1708" w:type="dxa"/>
            <w:shd w:val="pct15" w:color="auto" w:fill="FFFFFF"/>
          </w:tcPr>
          <w:p w14:paraId="2E2CE5D7" w14:textId="77777777" w:rsidR="0060497A" w:rsidRPr="00A40920" w:rsidRDefault="0060497A" w:rsidP="00F44800">
            <w:pPr>
              <w:pStyle w:val="Table8ptHeading-ASDEFCON"/>
            </w:pPr>
            <w:r w:rsidRPr="00A40920">
              <w:t>Subcontractor</w:t>
            </w:r>
          </w:p>
        </w:tc>
        <w:tc>
          <w:tcPr>
            <w:tcW w:w="1300" w:type="dxa"/>
            <w:shd w:val="pct15" w:color="auto" w:fill="FFFFFF"/>
          </w:tcPr>
          <w:p w14:paraId="0B7A3E61" w14:textId="77777777" w:rsidR="0060497A" w:rsidRDefault="0060497A" w:rsidP="00F44800">
            <w:pPr>
              <w:pStyle w:val="Table8ptHeading-ASDEFCON"/>
            </w:pPr>
            <w:r w:rsidRPr="00A40920">
              <w:t>ABN/</w:t>
            </w:r>
            <w:r>
              <w:t xml:space="preserve"> </w:t>
            </w:r>
          </w:p>
          <w:p w14:paraId="6BB7B779" w14:textId="77777777" w:rsidR="0060497A" w:rsidRPr="00A40920" w:rsidRDefault="0060497A" w:rsidP="00F44800">
            <w:pPr>
              <w:pStyle w:val="Table8ptHeading-ASDEFCON"/>
            </w:pPr>
            <w:r w:rsidRPr="00A40920">
              <w:t>ACN</w:t>
            </w:r>
          </w:p>
          <w:p w14:paraId="02068B8E" w14:textId="77777777" w:rsidR="0060497A" w:rsidRPr="00A40920" w:rsidRDefault="0060497A" w:rsidP="00F44800">
            <w:pPr>
              <w:pStyle w:val="Table8ptHeading-ASDEFCON"/>
            </w:pPr>
            <w:r w:rsidRPr="00A40920">
              <w:t>(if applicable)</w:t>
            </w:r>
          </w:p>
        </w:tc>
        <w:tc>
          <w:tcPr>
            <w:tcW w:w="2796" w:type="dxa"/>
            <w:shd w:val="pct15" w:color="auto" w:fill="FFFFFF"/>
          </w:tcPr>
          <w:p w14:paraId="5293C1D5" w14:textId="3886D6F0" w:rsidR="0060497A" w:rsidRDefault="0060497A" w:rsidP="00145A62">
            <w:pPr>
              <w:pStyle w:val="Table8ptHeading-ASDEFCON"/>
            </w:pPr>
            <w:r w:rsidRPr="00A4242C">
              <w:t>Work</w:t>
            </w:r>
            <w:r>
              <w:t xml:space="preserve"> / Services </w:t>
            </w:r>
            <w:r w:rsidRPr="00A4242C">
              <w:t>to</w:t>
            </w:r>
            <w:r>
              <w:t xml:space="preserve"> </w:t>
            </w:r>
            <w:r w:rsidRPr="00A4242C">
              <w:t>be</w:t>
            </w:r>
            <w:r>
              <w:t xml:space="preserve"> s</w:t>
            </w:r>
            <w:r w:rsidRPr="00A4242C">
              <w:t>ubcontracted</w:t>
            </w:r>
            <w:r>
              <w:t xml:space="preserve"> and any significant Deliverables</w:t>
            </w:r>
          </w:p>
          <w:p w14:paraId="230102C4" w14:textId="58E0137B" w:rsidR="0060497A" w:rsidRPr="00A40920" w:rsidRDefault="0060497A" w:rsidP="00F44800">
            <w:pPr>
              <w:pStyle w:val="Table8ptHeading-ASDEFCON"/>
            </w:pPr>
            <w:r w:rsidRPr="00A4242C">
              <w:t>(including</w:t>
            </w:r>
            <w:r>
              <w:t xml:space="preserve"> </w:t>
            </w:r>
            <w:r w:rsidRPr="00A4242C">
              <w:t>technical</w:t>
            </w:r>
            <w:r>
              <w:t xml:space="preserve"> </w:t>
            </w:r>
            <w:r w:rsidRPr="00A4242C">
              <w:t>significance)</w:t>
            </w:r>
          </w:p>
        </w:tc>
        <w:tc>
          <w:tcPr>
            <w:tcW w:w="1536" w:type="dxa"/>
            <w:shd w:val="pct15" w:color="auto" w:fill="FFFFFF"/>
          </w:tcPr>
          <w:p w14:paraId="7062E0C0" w14:textId="2A68FBCE" w:rsidR="0060497A" w:rsidRPr="00A40920" w:rsidRDefault="0060497A" w:rsidP="00225042">
            <w:pPr>
              <w:pStyle w:val="Table8ptHeading-ASDEFCON"/>
            </w:pPr>
            <w:bookmarkStart w:id="2" w:name="_GoBack"/>
            <w:bookmarkEnd w:id="2"/>
            <w:r w:rsidRPr="00A40920">
              <w:t xml:space="preserve">Prescribed Activity as referenced at </w:t>
            </w:r>
            <w:r>
              <w:t>11</w:t>
            </w:r>
            <w:r w:rsidRPr="00A40920">
              <w:t>.9.</w:t>
            </w:r>
            <w:r>
              <w:t>4</w:t>
            </w:r>
            <w:r w:rsidRPr="00A40920">
              <w:t>(b)</w:t>
            </w:r>
            <w:r>
              <w:t>(iii)</w:t>
            </w:r>
            <w:r w:rsidRPr="00A40920">
              <w:t xml:space="preserve"> of the COC </w:t>
            </w:r>
          </w:p>
        </w:tc>
        <w:tc>
          <w:tcPr>
            <w:tcW w:w="1564" w:type="dxa"/>
            <w:shd w:val="pct15" w:color="auto" w:fill="FFFFFF"/>
          </w:tcPr>
          <w:p w14:paraId="1C552176" w14:textId="77777777" w:rsidR="0060497A" w:rsidRPr="00A40920" w:rsidRDefault="0060497A" w:rsidP="00F44800">
            <w:pPr>
              <w:pStyle w:val="Table8ptHeading-ASDEFCON"/>
            </w:pPr>
            <w:r w:rsidRPr="00A40920">
              <w:t xml:space="preserve">Subcontract Value </w:t>
            </w:r>
          </w:p>
          <w:p w14:paraId="08F15B27" w14:textId="77777777" w:rsidR="0060497A" w:rsidRDefault="0060497A" w:rsidP="00F44800">
            <w:pPr>
              <w:pStyle w:val="Table8ptHeading-ASDEFCON"/>
            </w:pPr>
            <w:r w:rsidRPr="00A40920">
              <w:t>($A)</w:t>
            </w:r>
          </w:p>
          <w:p w14:paraId="2E428BE2" w14:textId="77777777" w:rsidR="0060497A" w:rsidRPr="00A40920" w:rsidRDefault="0060497A" w:rsidP="00F44800">
            <w:pPr>
              <w:pStyle w:val="Table8ptHeading-ASDEFCON"/>
            </w:pPr>
            <w:r w:rsidRPr="00993CA6">
              <w:t>(per annum)</w:t>
            </w:r>
          </w:p>
        </w:tc>
        <w:tc>
          <w:tcPr>
            <w:tcW w:w="1624" w:type="dxa"/>
            <w:shd w:val="pct15" w:color="auto" w:fill="FFFFFF"/>
          </w:tcPr>
          <w:p w14:paraId="49FD3717" w14:textId="77777777" w:rsidR="0060497A" w:rsidRPr="00A40920" w:rsidRDefault="0060497A" w:rsidP="00F44800">
            <w:pPr>
              <w:pStyle w:val="Table8ptHeading-ASDEFCON"/>
            </w:pPr>
            <w:r w:rsidRPr="00A40920">
              <w:t xml:space="preserve">Location of work to be performed </w:t>
            </w:r>
          </w:p>
          <w:p w14:paraId="12374CF8" w14:textId="77777777" w:rsidR="0060497A" w:rsidRPr="00A40920" w:rsidRDefault="0060497A" w:rsidP="00F44800">
            <w:pPr>
              <w:pStyle w:val="Table8ptHeading-ASDEFCON"/>
            </w:pPr>
            <w:r w:rsidRPr="00A40920">
              <w:t>(incl. postcode)</w:t>
            </w:r>
          </w:p>
        </w:tc>
        <w:tc>
          <w:tcPr>
            <w:tcW w:w="3498" w:type="dxa"/>
            <w:shd w:val="pct15" w:color="auto" w:fill="FFFFFF"/>
          </w:tcPr>
          <w:p w14:paraId="6E9070E0" w14:textId="77777777" w:rsidR="0060497A" w:rsidRPr="00A40920" w:rsidRDefault="0060497A" w:rsidP="00F44800">
            <w:pPr>
              <w:pStyle w:val="Table8ptHeading-ASDEFCON"/>
            </w:pPr>
            <w:r w:rsidRPr="00A40920">
              <w:t>Comments</w:t>
            </w:r>
            <w:r>
              <w:t xml:space="preserve"> / Exclusions</w:t>
            </w:r>
          </w:p>
        </w:tc>
      </w:tr>
      <w:tr w:rsidR="0060497A" w14:paraId="744D1780" w14:textId="77777777" w:rsidTr="0060497A">
        <w:tc>
          <w:tcPr>
            <w:tcW w:w="1708" w:type="dxa"/>
            <w:shd w:val="pct15" w:color="auto" w:fill="FFFFFF"/>
          </w:tcPr>
          <w:p w14:paraId="1A5DB5B1" w14:textId="678F2654" w:rsidR="0060497A" w:rsidRPr="00A40920" w:rsidRDefault="0060497A" w:rsidP="00F44800">
            <w:pPr>
              <w:pStyle w:val="Table8ptHeading-ASDEFCON"/>
            </w:pPr>
            <w:r>
              <w:t>(a)</w:t>
            </w:r>
          </w:p>
        </w:tc>
        <w:tc>
          <w:tcPr>
            <w:tcW w:w="1300" w:type="dxa"/>
            <w:shd w:val="pct15" w:color="auto" w:fill="FFFFFF"/>
          </w:tcPr>
          <w:p w14:paraId="180FFFE0" w14:textId="1F3DA68B" w:rsidR="0060497A" w:rsidRPr="00A40920" w:rsidRDefault="0060497A" w:rsidP="00F44800">
            <w:pPr>
              <w:pStyle w:val="Table8ptHeading-ASDEFCON"/>
            </w:pPr>
            <w:r>
              <w:t>(b)</w:t>
            </w:r>
          </w:p>
        </w:tc>
        <w:tc>
          <w:tcPr>
            <w:tcW w:w="2796" w:type="dxa"/>
            <w:shd w:val="pct15" w:color="auto" w:fill="FFFFFF"/>
          </w:tcPr>
          <w:p w14:paraId="38D7ED2C" w14:textId="6E46C465" w:rsidR="0060497A" w:rsidRPr="00A40920" w:rsidRDefault="0060497A" w:rsidP="00F44800">
            <w:pPr>
              <w:pStyle w:val="Table8ptHeading-ASDEFCON"/>
            </w:pPr>
            <w:r>
              <w:t>(c)</w:t>
            </w:r>
          </w:p>
        </w:tc>
        <w:tc>
          <w:tcPr>
            <w:tcW w:w="1536" w:type="dxa"/>
            <w:shd w:val="pct15" w:color="auto" w:fill="FFFFFF"/>
          </w:tcPr>
          <w:p w14:paraId="30B2E747" w14:textId="05CD7ACC" w:rsidR="0060497A" w:rsidRPr="00A40920" w:rsidRDefault="0060497A">
            <w:pPr>
              <w:pStyle w:val="Table8ptHeading-ASDEFCON"/>
            </w:pPr>
            <w:r>
              <w:t>(d)</w:t>
            </w:r>
          </w:p>
        </w:tc>
        <w:tc>
          <w:tcPr>
            <w:tcW w:w="1564" w:type="dxa"/>
            <w:shd w:val="pct15" w:color="auto" w:fill="FFFFFF"/>
          </w:tcPr>
          <w:p w14:paraId="5A5F5141" w14:textId="6E0D4FDF" w:rsidR="0060497A" w:rsidRPr="00A40920" w:rsidRDefault="0060497A">
            <w:pPr>
              <w:pStyle w:val="Table8ptHeading-ASDEFCON"/>
            </w:pPr>
            <w:r>
              <w:t>(e)</w:t>
            </w:r>
          </w:p>
        </w:tc>
        <w:tc>
          <w:tcPr>
            <w:tcW w:w="1624" w:type="dxa"/>
            <w:shd w:val="pct15" w:color="auto" w:fill="FFFFFF"/>
          </w:tcPr>
          <w:p w14:paraId="15BD08E0" w14:textId="78D8BC9A" w:rsidR="0060497A" w:rsidRPr="00A40920" w:rsidRDefault="0060497A">
            <w:pPr>
              <w:pStyle w:val="Table8ptHeading-ASDEFCON"/>
            </w:pPr>
            <w:r>
              <w:t>(f)</w:t>
            </w:r>
          </w:p>
        </w:tc>
        <w:tc>
          <w:tcPr>
            <w:tcW w:w="3498" w:type="dxa"/>
            <w:shd w:val="pct15" w:color="auto" w:fill="FFFFFF"/>
          </w:tcPr>
          <w:p w14:paraId="100A402F" w14:textId="6E273247" w:rsidR="0060497A" w:rsidRPr="00A40920" w:rsidRDefault="0060497A">
            <w:pPr>
              <w:pStyle w:val="Table8ptHeading-ASDEFCON"/>
            </w:pPr>
            <w:r>
              <w:t>(g)</w:t>
            </w:r>
          </w:p>
        </w:tc>
      </w:tr>
      <w:tr w:rsidR="0060497A" w14:paraId="735B6CBF" w14:textId="77777777" w:rsidTr="0060497A">
        <w:tc>
          <w:tcPr>
            <w:tcW w:w="1708" w:type="dxa"/>
          </w:tcPr>
          <w:p w14:paraId="650ACF56" w14:textId="77777777" w:rsidR="0060497A" w:rsidRDefault="0060497A" w:rsidP="00F44800">
            <w:pPr>
              <w:pStyle w:val="Table8ptText-ASDEFCON"/>
            </w:pPr>
            <w:r>
              <w:t xml:space="preserve">e.g. </w:t>
            </w:r>
          </w:p>
          <w:p w14:paraId="6AC113AB" w14:textId="77777777" w:rsidR="0060497A" w:rsidRPr="00A40920" w:rsidRDefault="0060497A" w:rsidP="00F44800">
            <w:pPr>
              <w:pStyle w:val="Table8ptText-ASDEFCON"/>
            </w:pPr>
            <w:r>
              <w:t xml:space="preserve">ABC Pty Ltd </w:t>
            </w:r>
          </w:p>
        </w:tc>
        <w:tc>
          <w:tcPr>
            <w:tcW w:w="1300" w:type="dxa"/>
          </w:tcPr>
          <w:p w14:paraId="0C1C89E0" w14:textId="77777777" w:rsidR="0060497A" w:rsidRPr="00A40920" w:rsidRDefault="0060497A" w:rsidP="00F44800">
            <w:pPr>
              <w:pStyle w:val="Table8ptText-ASDEFCON"/>
            </w:pPr>
          </w:p>
        </w:tc>
        <w:tc>
          <w:tcPr>
            <w:tcW w:w="2796" w:type="dxa"/>
          </w:tcPr>
          <w:p w14:paraId="3DE2086D" w14:textId="77777777" w:rsidR="0060497A" w:rsidRPr="00A40920" w:rsidRDefault="0060497A" w:rsidP="00F44800">
            <w:pPr>
              <w:pStyle w:val="Table8ptText-ASDEFCON"/>
            </w:pPr>
            <w:r>
              <w:t xml:space="preserve">Supply of support on communication systems </w:t>
            </w:r>
          </w:p>
        </w:tc>
        <w:tc>
          <w:tcPr>
            <w:tcW w:w="1536" w:type="dxa"/>
          </w:tcPr>
          <w:p w14:paraId="3A005F1E" w14:textId="2D048CBA" w:rsidR="0060497A" w:rsidRPr="00A40920" w:rsidRDefault="0060497A" w:rsidP="00F44800">
            <w:pPr>
              <w:pStyle w:val="Table8ptText-ASDEFCON"/>
            </w:pPr>
            <w:r>
              <w:t>N/A</w:t>
            </w:r>
          </w:p>
        </w:tc>
        <w:tc>
          <w:tcPr>
            <w:tcW w:w="1564" w:type="dxa"/>
          </w:tcPr>
          <w:p w14:paraId="3B4DC902" w14:textId="77777777" w:rsidR="0060497A" w:rsidRDefault="0060497A" w:rsidP="00F44800">
            <w:pPr>
              <w:pStyle w:val="Table8ptText-ASDEFCON"/>
            </w:pPr>
            <w:r>
              <w:t xml:space="preserve">$xxx </w:t>
            </w:r>
          </w:p>
          <w:p w14:paraId="322513AA" w14:textId="77777777" w:rsidR="0060497A" w:rsidRPr="00A40920" w:rsidRDefault="0060497A" w:rsidP="00F44800">
            <w:pPr>
              <w:pStyle w:val="Table8ptText-ASDEFCON"/>
            </w:pPr>
          </w:p>
        </w:tc>
        <w:tc>
          <w:tcPr>
            <w:tcW w:w="1624" w:type="dxa"/>
          </w:tcPr>
          <w:p w14:paraId="5370349A" w14:textId="77777777" w:rsidR="0060497A" w:rsidRPr="00A40920" w:rsidRDefault="0060497A" w:rsidP="00F44800">
            <w:pPr>
              <w:pStyle w:val="Table8ptText-ASDEFCON"/>
            </w:pPr>
            <w:r>
              <w:t xml:space="preserve">123 Soldier Ave, Bandiana  </w:t>
            </w:r>
          </w:p>
        </w:tc>
        <w:tc>
          <w:tcPr>
            <w:tcW w:w="3498" w:type="dxa"/>
          </w:tcPr>
          <w:p w14:paraId="129EDB9A" w14:textId="62906979" w:rsidR="0060497A" w:rsidRPr="00A40920" w:rsidRDefault="0060497A" w:rsidP="00F44800">
            <w:pPr>
              <w:pStyle w:val="Table8ptText-ASDEFCON"/>
            </w:pPr>
          </w:p>
        </w:tc>
      </w:tr>
      <w:tr w:rsidR="0060497A" w14:paraId="0E87AD16" w14:textId="77777777" w:rsidTr="0060497A">
        <w:tc>
          <w:tcPr>
            <w:tcW w:w="1708" w:type="dxa"/>
          </w:tcPr>
          <w:p w14:paraId="1567D85F" w14:textId="77777777" w:rsidR="0060497A" w:rsidRPr="00A40920" w:rsidRDefault="0060497A" w:rsidP="00F44800">
            <w:pPr>
              <w:pStyle w:val="Table8ptText-ASDEFCON"/>
            </w:pPr>
          </w:p>
        </w:tc>
        <w:tc>
          <w:tcPr>
            <w:tcW w:w="1300" w:type="dxa"/>
          </w:tcPr>
          <w:p w14:paraId="4BE46717" w14:textId="77777777" w:rsidR="0060497A" w:rsidRPr="00A40920" w:rsidRDefault="0060497A" w:rsidP="00F44800">
            <w:pPr>
              <w:pStyle w:val="Table8ptText-ASDEFCON"/>
            </w:pPr>
          </w:p>
        </w:tc>
        <w:tc>
          <w:tcPr>
            <w:tcW w:w="2796" w:type="dxa"/>
          </w:tcPr>
          <w:p w14:paraId="1453A823" w14:textId="77777777" w:rsidR="0060497A" w:rsidRPr="00A40920" w:rsidRDefault="0060497A" w:rsidP="00F44800">
            <w:pPr>
              <w:pStyle w:val="Table8ptText-ASDEFCON"/>
            </w:pPr>
          </w:p>
        </w:tc>
        <w:tc>
          <w:tcPr>
            <w:tcW w:w="1536" w:type="dxa"/>
          </w:tcPr>
          <w:p w14:paraId="2CD4291C" w14:textId="2A09E8D0" w:rsidR="0060497A" w:rsidRPr="00A40920" w:rsidRDefault="0060497A" w:rsidP="00F44800">
            <w:pPr>
              <w:pStyle w:val="Table8ptText-ASDEFCON"/>
            </w:pPr>
          </w:p>
        </w:tc>
        <w:tc>
          <w:tcPr>
            <w:tcW w:w="1564" w:type="dxa"/>
          </w:tcPr>
          <w:p w14:paraId="6239E6D2" w14:textId="77777777" w:rsidR="0060497A" w:rsidRPr="00A40920" w:rsidRDefault="0060497A" w:rsidP="00F44800">
            <w:pPr>
              <w:pStyle w:val="Table8ptText-ASDEFCON"/>
            </w:pPr>
          </w:p>
        </w:tc>
        <w:tc>
          <w:tcPr>
            <w:tcW w:w="1624" w:type="dxa"/>
          </w:tcPr>
          <w:p w14:paraId="6258E359" w14:textId="77777777" w:rsidR="0060497A" w:rsidRPr="00A40920" w:rsidRDefault="0060497A" w:rsidP="00F44800">
            <w:pPr>
              <w:pStyle w:val="Table8ptText-ASDEFCON"/>
            </w:pPr>
          </w:p>
        </w:tc>
        <w:tc>
          <w:tcPr>
            <w:tcW w:w="3498" w:type="dxa"/>
          </w:tcPr>
          <w:p w14:paraId="0716BE1A" w14:textId="77777777" w:rsidR="0060497A" w:rsidRPr="00A40920" w:rsidRDefault="0060497A" w:rsidP="00F44800">
            <w:pPr>
              <w:pStyle w:val="Table8ptText-ASDEFCON"/>
            </w:pPr>
          </w:p>
        </w:tc>
      </w:tr>
    </w:tbl>
    <w:p w14:paraId="1811931F" w14:textId="77777777" w:rsidR="00F05AF7" w:rsidRDefault="00F05AF7" w:rsidP="00F05AF7">
      <w:pPr>
        <w:pStyle w:val="ASDEFCONOptionSpace"/>
      </w:pPr>
    </w:p>
    <w:p w14:paraId="0771452D" w14:textId="18ED038F" w:rsidR="00953142" w:rsidRDefault="00953142" w:rsidP="00953142">
      <w:pPr>
        <w:pStyle w:val="Note-ASDEFCON"/>
      </w:pPr>
      <w:r>
        <w:t xml:space="preserve">Notes on </w:t>
      </w:r>
      <w:r w:rsidR="0060497A">
        <w:t>Table I-1</w:t>
      </w:r>
      <w:r>
        <w:t>:</w:t>
      </w:r>
    </w:p>
    <w:p w14:paraId="1F7781DA" w14:textId="77777777" w:rsidR="00953142" w:rsidRDefault="00953142" w:rsidP="00953142">
      <w:pPr>
        <w:pStyle w:val="Note-ASDEFCON"/>
      </w:pPr>
      <w:r>
        <w:t>(a)</w:t>
      </w:r>
      <w:r>
        <w:tab/>
        <w:t>Subcontractor name: Name of the business entity performing the Subcontract.  Include the registered business name and, if applicable, relevant trading name.</w:t>
      </w:r>
    </w:p>
    <w:p w14:paraId="46BD5782" w14:textId="77777777" w:rsidR="00953142" w:rsidRDefault="00953142" w:rsidP="00953142">
      <w:pPr>
        <w:pStyle w:val="Note-ASDEFCON"/>
      </w:pPr>
      <w:r>
        <w:t>(b)</w:t>
      </w:r>
      <w:r>
        <w:tab/>
        <w:t>ABN / ACN: Australian Business Number, Australian Company Number, or other business registration number for the entity.</w:t>
      </w:r>
    </w:p>
    <w:p w14:paraId="68D2E71C" w14:textId="3BD96E3B" w:rsidR="00953142" w:rsidRDefault="00953142" w:rsidP="00953142">
      <w:pPr>
        <w:pStyle w:val="Note-ASDEFCON"/>
      </w:pPr>
      <w:r>
        <w:t>(c)</w:t>
      </w:r>
      <w:r>
        <w:tab/>
        <w:t xml:space="preserve">Work to be </w:t>
      </w:r>
      <w:r w:rsidR="009975BF">
        <w:t>s</w:t>
      </w:r>
      <w:r>
        <w:t xml:space="preserve">ubcontracted: Description of the Services to </w:t>
      </w:r>
      <w:proofErr w:type="gramStart"/>
      <w:r>
        <w:t>be performed</w:t>
      </w:r>
      <w:proofErr w:type="gramEnd"/>
      <w:r>
        <w:t xml:space="preserve"> by the Subcontractor.</w:t>
      </w:r>
    </w:p>
    <w:p w14:paraId="567EB95A" w14:textId="1292FC0C" w:rsidR="00953142" w:rsidRDefault="00953142" w:rsidP="00953142">
      <w:pPr>
        <w:pStyle w:val="Note-ASDEFCON"/>
      </w:pPr>
      <w:r>
        <w:t>(</w:t>
      </w:r>
      <w:r w:rsidR="00145A62">
        <w:t>d</w:t>
      </w:r>
      <w:r>
        <w:t>)</w:t>
      </w:r>
      <w:r>
        <w:tab/>
        <w:t>Prescribed Activity: Identify if Prescribed Activities will be required as part of the Services, and the nature of the applicable WHS risk.</w:t>
      </w:r>
    </w:p>
    <w:p w14:paraId="56998ED5" w14:textId="55825C51" w:rsidR="00953142" w:rsidRDefault="00953142" w:rsidP="00953142">
      <w:pPr>
        <w:pStyle w:val="Note-ASDEFCON"/>
      </w:pPr>
      <w:r>
        <w:t>(</w:t>
      </w:r>
      <w:r w:rsidR="00145A62">
        <w:t>e</w:t>
      </w:r>
      <w:r>
        <w:t>)</w:t>
      </w:r>
      <w:r>
        <w:tab/>
        <w:t>Subcontract value ($</w:t>
      </w:r>
      <w:proofErr w:type="gramStart"/>
      <w:r>
        <w:t>A</w:t>
      </w:r>
      <w:proofErr w:type="gramEnd"/>
      <w:r>
        <w:t>): The total value of the Subcontract in Australian dollars for the Term (including GST), not including amounts for ad hoc (</w:t>
      </w:r>
      <w:proofErr w:type="spellStart"/>
      <w:r>
        <w:t>eg</w:t>
      </w:r>
      <w:proofErr w:type="spellEnd"/>
      <w:r>
        <w:t>, S&amp;Q) Services.</w:t>
      </w:r>
    </w:p>
    <w:p w14:paraId="5C0952C0" w14:textId="72AEF56A" w:rsidR="00953142" w:rsidRDefault="00953142" w:rsidP="00953142">
      <w:pPr>
        <w:pStyle w:val="Note-ASDEFCON"/>
      </w:pPr>
      <w:r>
        <w:t>(</w:t>
      </w:r>
      <w:r w:rsidR="00145A62">
        <w:t>f</w:t>
      </w:r>
      <w:r>
        <w:t>)</w:t>
      </w:r>
      <w:r>
        <w:tab/>
        <w:t>Location of work to be performed:  The location (including the postcode) where the majority of the work for the activity will be performed</w:t>
      </w:r>
    </w:p>
    <w:p w14:paraId="55E2D1C1" w14:textId="6B8C3305" w:rsidR="00953142" w:rsidRPr="00871871" w:rsidRDefault="00953142" w:rsidP="00E74F9A">
      <w:pPr>
        <w:pStyle w:val="Note-ASDEFCON"/>
      </w:pPr>
      <w:proofErr w:type="gramStart"/>
      <w:r>
        <w:t>(</w:t>
      </w:r>
      <w:r w:rsidR="00145A62">
        <w:t>g</w:t>
      </w:r>
      <w:r>
        <w:t>)</w:t>
      </w:r>
      <w:r>
        <w:tab/>
        <w:t xml:space="preserve">Comments / Exclusions:  Comments expanding on the information in the previous columns, and / or to explain the reason for </w:t>
      </w:r>
      <w:r w:rsidR="00F05AF7">
        <w:t>a</w:t>
      </w:r>
      <w:r>
        <w:t xml:space="preserve"> Subcontractor </w:t>
      </w:r>
      <w:r w:rsidR="00F05AF7">
        <w:t>that meets the criteria in clause 11.9.4 of the COC not</w:t>
      </w:r>
      <w:r>
        <w:t xml:space="preserve"> being treated as an Approved Subcontractor</w:t>
      </w:r>
      <w:r w:rsidR="00F05AF7">
        <w:t>, either for the purposes of the Contract as a whole or for the purposes of the application of specific provisions of the Contract,</w:t>
      </w:r>
      <w:r>
        <w:t xml:space="preserve"> in accordance with clause 11.9.5 of the COC.</w:t>
      </w:r>
      <w:proofErr w:type="gramEnd"/>
    </w:p>
    <w:sectPr w:rsidR="00953142" w:rsidRPr="00871871" w:rsidSect="00A412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418" w:right="1418" w:bottom="1418" w:left="1418" w:header="567" w:footer="283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31697" w14:textId="77777777" w:rsidR="00CE69D3" w:rsidRDefault="00CE69D3">
      <w:pPr>
        <w:spacing w:after="0"/>
      </w:pPr>
      <w:r>
        <w:separator/>
      </w:r>
    </w:p>
  </w:endnote>
  <w:endnote w:type="continuationSeparator" w:id="0">
    <w:p w14:paraId="77C51A79" w14:textId="77777777" w:rsidR="00CE69D3" w:rsidRDefault="00CE69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FCDCA" w14:textId="77777777" w:rsidR="007B5317" w:rsidRDefault="007B53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3B26B8" w14:paraId="68A2C383" w14:textId="77777777" w:rsidTr="00A4122B">
      <w:tc>
        <w:tcPr>
          <w:tcW w:w="2500" w:type="pct"/>
        </w:tcPr>
        <w:p w14:paraId="18D4544A" w14:textId="6427DC07" w:rsidR="007F180A" w:rsidRDefault="00B531AA" w:rsidP="00A4122B">
          <w:pPr>
            <w:pStyle w:val="ASDEFCONHeaderFooterLeft"/>
          </w:pPr>
          <w:fldSimple w:instr=" DOCPROPERTY Footer_Left ">
            <w:r>
              <w:t>Attachment to Draft Conditions of Contract</w:t>
            </w:r>
          </w:fldSimple>
          <w:r w:rsidR="007E6593">
            <w:t xml:space="preserve"> (</w:t>
          </w:r>
          <w:fldSimple w:instr=" DOCPROPERTY Version ">
            <w:r>
              <w:t>V3.1</w:t>
            </w:r>
          </w:fldSimple>
          <w:r w:rsidR="007659A3">
            <w:t>)</w:t>
          </w:r>
        </w:p>
      </w:tc>
      <w:tc>
        <w:tcPr>
          <w:tcW w:w="2500" w:type="pct"/>
        </w:tcPr>
        <w:p w14:paraId="24B2563A" w14:textId="62EBB770" w:rsidR="007F180A" w:rsidRDefault="007659A3" w:rsidP="001861EB">
          <w:pPr>
            <w:pStyle w:val="ASDEFCONHeaderFooterRight"/>
          </w:pPr>
          <w:r w:rsidRPr="001861EB">
            <w:t>I-</w:t>
          </w:r>
          <w:r w:rsidRPr="001861EB">
            <w:rPr>
              <w:rStyle w:val="PageNumber"/>
              <w:szCs w:val="24"/>
            </w:rPr>
            <w:fldChar w:fldCharType="begin"/>
          </w:r>
          <w:r w:rsidRPr="001861EB">
            <w:rPr>
              <w:rStyle w:val="PageNumber"/>
              <w:szCs w:val="24"/>
            </w:rPr>
            <w:instrText xml:space="preserve"> PAGE </w:instrText>
          </w:r>
          <w:r w:rsidRPr="001861EB">
            <w:rPr>
              <w:rStyle w:val="PageNumber"/>
              <w:szCs w:val="24"/>
            </w:rPr>
            <w:fldChar w:fldCharType="separate"/>
          </w:r>
          <w:r w:rsidR="0060497A">
            <w:rPr>
              <w:rStyle w:val="PageNumber"/>
              <w:noProof/>
              <w:szCs w:val="24"/>
            </w:rPr>
            <w:t>1</w:t>
          </w:r>
          <w:r w:rsidRPr="001861EB">
            <w:rPr>
              <w:rStyle w:val="PageNumber"/>
              <w:szCs w:val="24"/>
            </w:rPr>
            <w:fldChar w:fldCharType="end"/>
          </w:r>
        </w:p>
      </w:tc>
    </w:tr>
    <w:tr w:rsidR="003B26B8" w14:paraId="1B0188B1" w14:textId="77777777" w:rsidTr="00A4122B">
      <w:tc>
        <w:tcPr>
          <w:tcW w:w="5000" w:type="pct"/>
          <w:gridSpan w:val="2"/>
        </w:tcPr>
        <w:p w14:paraId="47336DA1" w14:textId="13D6AFAF" w:rsidR="007F180A" w:rsidRDefault="00B531AA" w:rsidP="00A4122B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14:paraId="24E5A18E" w14:textId="77777777" w:rsidR="007F180A" w:rsidRPr="00A4122B" w:rsidRDefault="0060497A" w:rsidP="00A4122B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BCB89" w14:textId="77777777" w:rsidR="007B5317" w:rsidRDefault="007B53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C62BF" w14:textId="77777777" w:rsidR="00CE69D3" w:rsidRDefault="00CE69D3">
      <w:pPr>
        <w:spacing w:after="0"/>
      </w:pPr>
      <w:r>
        <w:separator/>
      </w:r>
    </w:p>
  </w:footnote>
  <w:footnote w:type="continuationSeparator" w:id="0">
    <w:p w14:paraId="4C4B35D8" w14:textId="77777777" w:rsidR="00CE69D3" w:rsidRDefault="00CE69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B660C" w14:textId="77777777" w:rsidR="007B5317" w:rsidRDefault="007B53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7E6593" w14:paraId="697D35C7" w14:textId="77777777" w:rsidTr="007E6593">
      <w:tc>
        <w:tcPr>
          <w:tcW w:w="5000" w:type="pct"/>
          <w:gridSpan w:val="2"/>
        </w:tcPr>
        <w:p w14:paraId="1A953775" w14:textId="0F74082A" w:rsidR="007E6593" w:rsidRDefault="00B531AA" w:rsidP="007E6593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7E6593" w14:paraId="18AF6343" w14:textId="77777777" w:rsidTr="007E6593">
      <w:tc>
        <w:tcPr>
          <w:tcW w:w="2500" w:type="pct"/>
        </w:tcPr>
        <w:p w14:paraId="03850EEE" w14:textId="0777C3F4" w:rsidR="007E6593" w:rsidRDefault="00B531AA" w:rsidP="007E6593">
          <w:pPr>
            <w:pStyle w:val="ASDEFCONHeaderFooterLeft"/>
          </w:pPr>
          <w:fldSimple w:instr=" DOCPROPERTY Header_Left ">
            <w:r>
              <w:t>ASDEFCON (Support Short)</w:t>
            </w:r>
          </w:fldSimple>
        </w:p>
      </w:tc>
      <w:tc>
        <w:tcPr>
          <w:tcW w:w="2500" w:type="pct"/>
        </w:tcPr>
        <w:p w14:paraId="229A68B3" w14:textId="12F109D9" w:rsidR="007E6593" w:rsidRDefault="00B531AA" w:rsidP="007E6593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14:paraId="1B7FB8B7" w14:textId="033FC12B" w:rsidR="007F180A" w:rsidRPr="007E6593" w:rsidRDefault="00B77338" w:rsidP="004B7476">
    <w:pPr>
      <w:pStyle w:val="ASDEFCONHeaderFooterClassification"/>
    </w:pPr>
    <w:r>
      <w:t>Attachment 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DAC11" w14:textId="77777777" w:rsidR="007B5317" w:rsidRDefault="007B53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73841C9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684489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A00E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169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236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A25E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906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863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A4B9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E138B74A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28E642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141B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6664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5C4B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F42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6C3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94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AE24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C1A8FC28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4F863E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4FC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BA9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A07D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D6CC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E0D0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EC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4629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AAB0C90E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D5D288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14F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F4C6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C40F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F27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FCA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888F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2C0A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56F4681A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9CC36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AA70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601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9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1C4C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F4D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484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8EAC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628ACFD2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3AC400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64F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A45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3E55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D272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3EDD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3C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8E8D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E340A5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B9E06C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9AC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00EF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0444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C67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882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8E82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1240D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7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B8"/>
    <w:rsid w:val="00071EE5"/>
    <w:rsid w:val="000F2216"/>
    <w:rsid w:val="00145A62"/>
    <w:rsid w:val="00211438"/>
    <w:rsid w:val="00225042"/>
    <w:rsid w:val="002C6880"/>
    <w:rsid w:val="003B26B8"/>
    <w:rsid w:val="004B7476"/>
    <w:rsid w:val="00545CB3"/>
    <w:rsid w:val="0057561C"/>
    <w:rsid w:val="005A5A19"/>
    <w:rsid w:val="005B5B73"/>
    <w:rsid w:val="0060497A"/>
    <w:rsid w:val="006451E5"/>
    <w:rsid w:val="007659A3"/>
    <w:rsid w:val="007B5317"/>
    <w:rsid w:val="007D3191"/>
    <w:rsid w:val="007E6593"/>
    <w:rsid w:val="008550EF"/>
    <w:rsid w:val="008C1B51"/>
    <w:rsid w:val="008E48C0"/>
    <w:rsid w:val="009327B1"/>
    <w:rsid w:val="00953142"/>
    <w:rsid w:val="00955C5B"/>
    <w:rsid w:val="009975BF"/>
    <w:rsid w:val="00B52BE1"/>
    <w:rsid w:val="00B531AA"/>
    <w:rsid w:val="00B77338"/>
    <w:rsid w:val="00C716DE"/>
    <w:rsid w:val="00C7205A"/>
    <w:rsid w:val="00CE54BF"/>
    <w:rsid w:val="00CE69D3"/>
    <w:rsid w:val="00CF6EA2"/>
    <w:rsid w:val="00E74F9A"/>
    <w:rsid w:val="00EE6931"/>
    <w:rsid w:val="00F05AF7"/>
    <w:rsid w:val="00F44800"/>
    <w:rsid w:val="00FC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1ED0E"/>
  <w15:docId w15:val="{0215C4B2-0805-416D-8A60-120D60AD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497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60497A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0497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rsid w:val="005A7A0E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5A7A0E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5A7A0E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5A7A0E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5A7A0E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5A7A0E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5A7A0E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60497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497A"/>
  </w:style>
  <w:style w:type="character" w:customStyle="1" w:styleId="Heading2Char">
    <w:name w:val="Heading 2 Char"/>
    <w:link w:val="Heading2"/>
    <w:rsid w:val="0060497A"/>
    <w:rPr>
      <w:rFonts w:ascii="Cambria" w:hAnsi="Cambria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rsid w:val="000A055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A055A"/>
    <w:rPr>
      <w:rFonts w:ascii="Arial" w:eastAsia="Calibri" w:hAnsi="Arial"/>
      <w:szCs w:val="22"/>
      <w:lang w:eastAsia="en-US"/>
    </w:rPr>
  </w:style>
  <w:style w:type="paragraph" w:styleId="Footer">
    <w:name w:val="footer"/>
    <w:basedOn w:val="Normal"/>
    <w:link w:val="FooterChar"/>
    <w:rsid w:val="000A055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A055A"/>
    <w:rPr>
      <w:rFonts w:ascii="Arial" w:eastAsia="Calibri" w:hAnsi="Arial"/>
      <w:szCs w:val="22"/>
      <w:lang w:eastAsia="en-US"/>
    </w:rPr>
  </w:style>
  <w:style w:type="paragraph" w:styleId="TOC1">
    <w:name w:val="toc 1"/>
    <w:next w:val="ASDEFCONNormal"/>
    <w:autoRedefine/>
    <w:uiPriority w:val="39"/>
    <w:rsid w:val="0060497A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60497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0497A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60497A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0497A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60497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0497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0497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0497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0497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0497A"/>
    <w:pPr>
      <w:spacing w:after="100"/>
      <w:ind w:left="1600"/>
    </w:pPr>
  </w:style>
  <w:style w:type="table" w:styleId="TableGrid">
    <w:name w:val="Table Grid"/>
    <w:basedOn w:val="TableNormal"/>
    <w:rsid w:val="005A7A0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A7A0E"/>
  </w:style>
  <w:style w:type="paragraph" w:customStyle="1" w:styleId="Style1">
    <w:name w:val="Style1"/>
    <w:basedOn w:val="Heading4"/>
    <w:rsid w:val="005A7A0E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5A7A0E"/>
    <w:rPr>
      <w:szCs w:val="20"/>
    </w:rPr>
  </w:style>
  <w:style w:type="paragraph" w:styleId="BalloonText">
    <w:name w:val="Balloon Text"/>
    <w:basedOn w:val="Normal"/>
    <w:autoRedefine/>
    <w:rsid w:val="00536B00"/>
    <w:rPr>
      <w:rFonts w:ascii="Times New Roman" w:hAnsi="Times New Roman"/>
      <w:sz w:val="24"/>
      <w:szCs w:val="20"/>
    </w:rPr>
  </w:style>
  <w:style w:type="character" w:styleId="CommentReference">
    <w:name w:val="annotation reference"/>
    <w:semiHidden/>
    <w:rsid w:val="00C77A65"/>
    <w:rPr>
      <w:sz w:val="16"/>
      <w:szCs w:val="16"/>
    </w:rPr>
  </w:style>
  <w:style w:type="paragraph" w:styleId="CommentText">
    <w:name w:val="annotation text"/>
    <w:basedOn w:val="Normal"/>
    <w:semiHidden/>
    <w:rsid w:val="00C77A6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C77A65"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60497A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60497A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60497A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0497A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60497A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60497A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60497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0497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0497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0497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0497A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0497A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0497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0497A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0497A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60497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0497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0497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0497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0497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0497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0497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0497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0497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0497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0497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0497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0497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0497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0497A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0497A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0497A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0497A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0497A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0497A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0497A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0497A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0497A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0497A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0497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0497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0497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0497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0497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0497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0497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0497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0497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0497A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0497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0497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60497A"/>
    <w:rPr>
      <w:szCs w:val="20"/>
    </w:rPr>
  </w:style>
  <w:style w:type="paragraph" w:customStyle="1" w:styleId="ASDEFCONTextBlock">
    <w:name w:val="ASDEFCON TextBlock"/>
    <w:basedOn w:val="ASDEFCONNormal"/>
    <w:qFormat/>
    <w:rsid w:val="0060497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0497A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0497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0497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0497A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0497A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0497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0497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0497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0497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0497A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60497A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0497A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0497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0497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0497A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60497A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0497A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0497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0497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0497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0497A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0497A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0497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0497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0497A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0497A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60497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0497A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0497A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60497A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0497A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0497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0497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0497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0497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0497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0497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0497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0497A"/>
    <w:pPr>
      <w:numPr>
        <w:ilvl w:val="1"/>
        <w:numId w:val="35"/>
      </w:numPr>
    </w:pPr>
  </w:style>
  <w:style w:type="character" w:styleId="PageNumber">
    <w:name w:val="page number"/>
    <w:basedOn w:val="DefaultParagraphFont"/>
    <w:rsid w:val="001861EB"/>
  </w:style>
  <w:style w:type="paragraph" w:customStyle="1" w:styleId="Default">
    <w:name w:val="Default"/>
    <w:rsid w:val="00642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60497A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60497A"/>
    <w:pPr>
      <w:numPr>
        <w:numId w:val="4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7B9A"/>
    <w:pPr>
      <w:numPr>
        <w:numId w:val="0"/>
      </w:numPr>
      <w:outlineLvl w:val="9"/>
    </w:pPr>
    <w:rPr>
      <w:rFonts w:ascii="Calibri Light" w:hAnsi="Calibri Light" w:cs="Times New Roman"/>
    </w:rPr>
  </w:style>
  <w:style w:type="paragraph" w:styleId="Revision">
    <w:name w:val="Revision"/>
    <w:hidden/>
    <w:uiPriority w:val="99"/>
    <w:semiHidden/>
    <w:rsid w:val="00FC26AE"/>
    <w:rPr>
      <w:rFonts w:ascii="Arial" w:hAnsi="Arial"/>
      <w:szCs w:val="24"/>
    </w:rPr>
  </w:style>
  <w:style w:type="paragraph" w:styleId="ListContinue">
    <w:name w:val="List Continue"/>
    <w:basedOn w:val="Normal"/>
    <w:rsid w:val="00145A6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103</TotalTime>
  <Pages>1</Pages>
  <Words>368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28</cp:revision>
  <dcterms:created xsi:type="dcterms:W3CDTF">2020-09-25T01:12:00Z</dcterms:created>
  <dcterms:modified xsi:type="dcterms:W3CDTF">2024-08-22T00:11:00Z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Draft Conditions of Contract</vt:lpwstr>
  </property>
  <property fmtid="{D5CDD505-2E9C-101B-9397-08002B2CF9AE}" pid="4" name="Header_Left">
    <vt:lpwstr>ASDEFCON (Support Short)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2024-07-26T04:19:36Z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BM77904154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2024-08-06T00:11:38Z</vt:filetime>
  </property>
  <property fmtid="{D5CDD505-2E9C-101B-9397-08002B2CF9AE}" pid="17" name="Objective-Owner">
    <vt:lpwstr>Laursen, Christian Mr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019_ASDEFCON_SPTS_V3.1_COC ATTI_ScheduleOfApprovedSubcontractors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V3.1</vt:lpwstr>
  </property>
  <property fmtid="{D5CDD505-2E9C-101B-9397-08002B2CF9AE}" pid="26" name="Objective-Reason for Security Classification Change [system]">
    <vt:lpwstr/>
  </property>
</Properties>
</file>