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4062C" w14:textId="77777777" w:rsidR="00971550" w:rsidRDefault="00270167" w:rsidP="00D33B68">
      <w:pPr>
        <w:pStyle w:val="ASDEFCONTitle"/>
      </w:pPr>
      <w:bookmarkStart w:id="0" w:name="_GoBack"/>
      <w:bookmarkEnd w:id="0"/>
      <w:r>
        <w:t>Technical Data and software rights Schedule (core)</w:t>
      </w:r>
    </w:p>
    <w:p w14:paraId="7F2DAD4F" w14:textId="7F83AB0F" w:rsidR="00971550" w:rsidRDefault="00270167">
      <w:pPr>
        <w:pStyle w:val="NoteToTenderers-ASDEFCON"/>
      </w:pPr>
      <w:r>
        <w:t>Note to tenderers:  Attachment D defines any restrictions on the TD or Software rights granted under any resultant Contract. Attachment D will consist of an amalgamation of information contained in this draft Attachment D, the successful tenderer’s response to TDR C-5 and any negotiated adjustments.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50"/>
        <w:gridCol w:w="1244"/>
        <w:gridCol w:w="1817"/>
        <w:gridCol w:w="3222"/>
        <w:gridCol w:w="3061"/>
        <w:gridCol w:w="4090"/>
      </w:tblGrid>
      <w:tr w:rsidR="00867164" w14:paraId="1F243055" w14:textId="77777777">
        <w:trPr>
          <w:cantSplit/>
          <w:trHeight w:val="463"/>
        </w:trPr>
        <w:tc>
          <w:tcPr>
            <w:tcW w:w="1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165E9C0C" w14:textId="77777777" w:rsidR="00971550" w:rsidRDefault="00270167">
            <w:pPr>
              <w:spacing w:before="60" w:after="60" w:line="240" w:lineRule="atLeast"/>
              <w:jc w:val="center"/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  <w:t>Unique Line Item Description</w:t>
            </w:r>
          </w:p>
        </w:tc>
        <w:tc>
          <w:tcPr>
            <w:tcW w:w="12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46954503" w14:textId="77777777" w:rsidR="00971550" w:rsidRDefault="00270167">
            <w:pPr>
              <w:spacing w:before="60" w:after="60" w:line="240" w:lineRule="atLeast"/>
              <w:jc w:val="center"/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  <w:t>Owner or Licensor</w:t>
            </w:r>
          </w:p>
        </w:tc>
        <w:tc>
          <w:tcPr>
            <w:tcW w:w="18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678556F5" w14:textId="77777777" w:rsidR="00971550" w:rsidRDefault="00270167">
            <w:pPr>
              <w:spacing w:before="60" w:after="60" w:line="240" w:lineRule="atLeast"/>
              <w:jc w:val="center"/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color w:val="FFFFFF"/>
                <w:sz w:val="18"/>
                <w:szCs w:val="18"/>
                <w:lang w:eastAsia="en-US"/>
              </w:rPr>
              <w:t>System/</w:t>
            </w:r>
            <w:r>
              <w:rPr>
                <w:rFonts w:eastAsia="Calibri"/>
                <w:b/>
                <w:bCs/>
                <w:color w:val="FFFFFF"/>
                <w:sz w:val="18"/>
                <w:szCs w:val="18"/>
                <w:lang w:eastAsia="en-US"/>
              </w:rPr>
              <w:br/>
              <w:t>Subsystem/ Component/CI Name</w:t>
            </w:r>
          </w:p>
        </w:tc>
        <w:tc>
          <w:tcPr>
            <w:tcW w:w="32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0165F12A" w14:textId="77777777" w:rsidR="00971550" w:rsidRDefault="00270167">
            <w:pPr>
              <w:spacing w:before="60" w:after="60" w:line="240" w:lineRule="atLeast"/>
              <w:jc w:val="center"/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  <w:t>Description of TD or Software</w:t>
            </w:r>
          </w:p>
        </w:tc>
        <w:tc>
          <w:tcPr>
            <w:tcW w:w="30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3EE18AE9" w14:textId="77777777" w:rsidR="00971550" w:rsidRDefault="00270167">
            <w:pPr>
              <w:spacing w:before="60" w:after="60" w:line="240" w:lineRule="atLeast"/>
              <w:jc w:val="center"/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  <w:t>Restrictions on Commonwealth's rights to sublicence the TD or Software</w:t>
            </w:r>
          </w:p>
          <w:p w14:paraId="6D9ADE64" w14:textId="47C5DF54" w:rsidR="00971550" w:rsidRDefault="00270167">
            <w:pPr>
              <w:spacing w:before="60" w:after="60" w:line="240" w:lineRule="atLeast"/>
              <w:jc w:val="center"/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  <w:t xml:space="preserve">(Clause </w:t>
            </w:r>
            <w:r w:rsidRPr="00EA2470"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  <w:t>5.2.2b(iv)</w:t>
            </w:r>
            <w:r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  <w:t xml:space="preserve"> of the COC)</w:t>
            </w:r>
          </w:p>
        </w:tc>
        <w:tc>
          <w:tcPr>
            <w:tcW w:w="40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</w:tcPr>
          <w:p w14:paraId="69528E26" w14:textId="77777777" w:rsidR="00971550" w:rsidRDefault="00270167">
            <w:pPr>
              <w:spacing w:before="60" w:after="60" w:line="240" w:lineRule="atLeast"/>
              <w:jc w:val="center"/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FFFFFF"/>
                <w:sz w:val="18"/>
                <w:szCs w:val="18"/>
                <w:lang w:eastAsia="en-US"/>
              </w:rPr>
              <w:t>Justification for Restriction(s)</w:t>
            </w:r>
          </w:p>
        </w:tc>
      </w:tr>
      <w:tr w:rsidR="00867164" w14:paraId="45C93FF2" w14:textId="77777777">
        <w:trPr>
          <w:cantSplit/>
          <w:trHeight w:val="233"/>
        </w:trPr>
        <w:tc>
          <w:tcPr>
            <w:tcW w:w="1450" w:type="dxa"/>
            <w:shd w:val="clear" w:color="auto" w:fill="CCCCCC"/>
          </w:tcPr>
          <w:p w14:paraId="4A5EEF44" w14:textId="77777777" w:rsidR="00971550" w:rsidRDefault="00270167">
            <w:pPr>
              <w:tabs>
                <w:tab w:val="num" w:pos="0"/>
              </w:tabs>
              <w:spacing w:before="60" w:after="60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(a)</w:t>
            </w:r>
          </w:p>
        </w:tc>
        <w:tc>
          <w:tcPr>
            <w:tcW w:w="1244" w:type="dxa"/>
            <w:shd w:val="clear" w:color="auto" w:fill="CCCCCC"/>
          </w:tcPr>
          <w:p w14:paraId="370DDAFF" w14:textId="77777777" w:rsidR="00971550" w:rsidRDefault="00270167">
            <w:pPr>
              <w:tabs>
                <w:tab w:val="num" w:pos="0"/>
              </w:tabs>
              <w:spacing w:before="60" w:after="60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(b)</w:t>
            </w:r>
          </w:p>
        </w:tc>
        <w:tc>
          <w:tcPr>
            <w:tcW w:w="1817" w:type="dxa"/>
            <w:shd w:val="clear" w:color="auto" w:fill="CCCCCC"/>
          </w:tcPr>
          <w:p w14:paraId="29973391" w14:textId="77777777" w:rsidR="00971550" w:rsidRDefault="00270167">
            <w:pPr>
              <w:tabs>
                <w:tab w:val="num" w:pos="0"/>
              </w:tabs>
              <w:spacing w:before="60" w:after="60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(c)</w:t>
            </w:r>
          </w:p>
        </w:tc>
        <w:tc>
          <w:tcPr>
            <w:tcW w:w="3222" w:type="dxa"/>
            <w:shd w:val="clear" w:color="auto" w:fill="CCCCCC"/>
          </w:tcPr>
          <w:p w14:paraId="28A20DBB" w14:textId="77777777" w:rsidR="00971550" w:rsidRDefault="00270167">
            <w:pPr>
              <w:tabs>
                <w:tab w:val="num" w:pos="0"/>
              </w:tabs>
              <w:spacing w:before="60" w:after="60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(d)</w:t>
            </w:r>
          </w:p>
        </w:tc>
        <w:tc>
          <w:tcPr>
            <w:tcW w:w="3061" w:type="dxa"/>
            <w:shd w:val="clear" w:color="auto" w:fill="CCCCCC"/>
          </w:tcPr>
          <w:p w14:paraId="6BF5806B" w14:textId="77777777" w:rsidR="00971550" w:rsidRDefault="00270167">
            <w:pPr>
              <w:tabs>
                <w:tab w:val="num" w:pos="0"/>
              </w:tabs>
              <w:spacing w:before="60" w:after="60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(e)</w:t>
            </w:r>
          </w:p>
        </w:tc>
        <w:tc>
          <w:tcPr>
            <w:tcW w:w="4090" w:type="dxa"/>
            <w:shd w:val="clear" w:color="auto" w:fill="CCCCCC"/>
          </w:tcPr>
          <w:p w14:paraId="444C7FA2" w14:textId="77777777" w:rsidR="00971550" w:rsidRDefault="00270167">
            <w:pPr>
              <w:tabs>
                <w:tab w:val="num" w:pos="0"/>
              </w:tabs>
              <w:spacing w:before="60" w:after="60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(f)</w:t>
            </w:r>
          </w:p>
        </w:tc>
      </w:tr>
      <w:tr w:rsidR="00867164" w14:paraId="37C693C5" w14:textId="77777777">
        <w:trPr>
          <w:cantSplit/>
          <w:trHeight w:val="591"/>
        </w:trPr>
        <w:tc>
          <w:tcPr>
            <w:tcW w:w="1450" w:type="dxa"/>
          </w:tcPr>
          <w:p w14:paraId="54A6F570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Example: D-1-1</w:t>
            </w:r>
          </w:p>
        </w:tc>
        <w:tc>
          <w:tcPr>
            <w:tcW w:w="1244" w:type="dxa"/>
          </w:tcPr>
          <w:p w14:paraId="2422B151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i/>
                <w:color w:val="000000"/>
              </w:rPr>
              <w:t>Contractor</w:t>
            </w:r>
          </w:p>
        </w:tc>
        <w:tc>
          <w:tcPr>
            <w:tcW w:w="1817" w:type="dxa"/>
          </w:tcPr>
          <w:p w14:paraId="61F92BEB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i/>
                <w:color w:val="000000"/>
              </w:rPr>
              <w:t>Aircraft Landing System</w:t>
            </w:r>
          </w:p>
        </w:tc>
        <w:tc>
          <w:tcPr>
            <w:tcW w:w="3222" w:type="dxa"/>
          </w:tcPr>
          <w:p w14:paraId="2F16B8C1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b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i/>
                <w:color w:val="000000"/>
              </w:rPr>
              <w:t>Aircraft structural loads and certification data</w:t>
            </w:r>
          </w:p>
        </w:tc>
        <w:tc>
          <w:tcPr>
            <w:tcW w:w="3061" w:type="dxa"/>
          </w:tcPr>
          <w:p w14:paraId="15BA8A8C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i/>
                <w:color w:val="000000"/>
              </w:rPr>
              <w:t>Licences do not include right to grant sublicences for the purpose of a third party modifying the Capability.</w:t>
            </w:r>
          </w:p>
        </w:tc>
        <w:tc>
          <w:tcPr>
            <w:tcW w:w="4090" w:type="dxa"/>
          </w:tcPr>
          <w:p w14:paraId="3061ECCF" w14:textId="77777777" w:rsidR="00971550" w:rsidRDefault="00270167">
            <w:pPr>
              <w:tabs>
                <w:tab w:val="num" w:pos="0"/>
              </w:tabs>
              <w:spacing w:before="60" w:after="60"/>
              <w:rPr>
                <w:rFonts w:eastAsia="Calibri" w:cs="Arial"/>
                <w:b/>
                <w:i/>
                <w:caps/>
                <w:color w:val="000000"/>
              </w:rPr>
            </w:pPr>
            <w:r>
              <w:rPr>
                <w:rFonts w:eastAsia="Calibri" w:cs="Arial"/>
                <w:i/>
                <w:color w:val="000000"/>
              </w:rPr>
              <w:t>This data requires access to competitively sensitive data.</w:t>
            </w:r>
          </w:p>
        </w:tc>
      </w:tr>
      <w:tr w:rsidR="00867164" w14:paraId="652275AF" w14:textId="77777777">
        <w:trPr>
          <w:trHeight w:val="591"/>
        </w:trPr>
        <w:tc>
          <w:tcPr>
            <w:tcW w:w="1450" w:type="dxa"/>
          </w:tcPr>
          <w:p w14:paraId="581FCCD9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  <w:t>Example: D-1-2</w:t>
            </w:r>
          </w:p>
        </w:tc>
        <w:tc>
          <w:tcPr>
            <w:tcW w:w="1244" w:type="dxa"/>
          </w:tcPr>
          <w:p w14:paraId="57028A54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i/>
                <w:color w:val="000000"/>
              </w:rPr>
              <w:t>Contractor</w:t>
            </w:r>
          </w:p>
        </w:tc>
        <w:tc>
          <w:tcPr>
            <w:tcW w:w="1817" w:type="dxa"/>
          </w:tcPr>
          <w:p w14:paraId="1781AF21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i/>
                <w:color w:val="000000"/>
              </w:rPr>
              <w:t>Combat Management  System</w:t>
            </w:r>
          </w:p>
        </w:tc>
        <w:tc>
          <w:tcPr>
            <w:tcW w:w="3222" w:type="dxa"/>
          </w:tcPr>
          <w:p w14:paraId="65284D11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i/>
                <w:color w:val="000000"/>
              </w:rPr>
              <w:t xml:space="preserve">Mission Planning Software </w:t>
            </w:r>
          </w:p>
        </w:tc>
        <w:tc>
          <w:tcPr>
            <w:tcW w:w="3061" w:type="dxa"/>
          </w:tcPr>
          <w:p w14:paraId="56217B56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b/>
                <w:i/>
                <w:caps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i/>
                <w:color w:val="000000"/>
              </w:rPr>
              <w:t>Licences do not include right to grant sublicences for the purpose of modifying, developing or upgrading the Software without the prior written consent of XYZ Pty Ltd.</w:t>
            </w:r>
          </w:p>
        </w:tc>
        <w:tc>
          <w:tcPr>
            <w:tcW w:w="4090" w:type="dxa"/>
          </w:tcPr>
          <w:p w14:paraId="5D857D3D" w14:textId="77777777" w:rsidR="00971550" w:rsidRDefault="00270167">
            <w:pPr>
              <w:tabs>
                <w:tab w:val="num" w:pos="0"/>
              </w:tabs>
              <w:spacing w:before="60" w:after="60"/>
              <w:jc w:val="left"/>
              <w:rPr>
                <w:rFonts w:eastAsia="Calibri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i/>
                <w:color w:val="000000"/>
              </w:rPr>
              <w:t>This data requires access to competitively sensitive data.</w:t>
            </w:r>
          </w:p>
        </w:tc>
      </w:tr>
    </w:tbl>
    <w:p w14:paraId="7609A352" w14:textId="77777777" w:rsidR="00971550" w:rsidRDefault="000411FE">
      <w:pPr>
        <w:rPr>
          <w:color w:val="000000"/>
        </w:rPr>
      </w:pPr>
    </w:p>
    <w:sectPr w:rsidR="009715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418" w:right="1418" w:bottom="1418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0B294" w14:textId="77777777" w:rsidR="0061153E" w:rsidRDefault="0061153E">
      <w:pPr>
        <w:spacing w:after="0"/>
      </w:pPr>
      <w:r>
        <w:separator/>
      </w:r>
    </w:p>
  </w:endnote>
  <w:endnote w:type="continuationSeparator" w:id="0">
    <w:p w14:paraId="224A1DD7" w14:textId="77777777" w:rsidR="0061153E" w:rsidRDefault="006115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0400A" w14:textId="77777777" w:rsidR="00761363" w:rsidRDefault="007613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867164" w14:paraId="059A5722" w14:textId="77777777">
      <w:tc>
        <w:tcPr>
          <w:tcW w:w="2500" w:type="pct"/>
        </w:tcPr>
        <w:p w14:paraId="0F350AE5" w14:textId="69D6FFD8" w:rsidR="00971550" w:rsidRDefault="0061153E" w:rsidP="006759FE">
          <w:pPr>
            <w:pStyle w:val="ASDEFCONHeaderFooterLeft"/>
          </w:pPr>
          <w:fldSimple w:instr=" DOCPROPERTY Footer_Left ">
            <w:r w:rsidR="000411FE">
              <w:t>Attachment to Draft Conditions of Contract</w:t>
            </w:r>
          </w:fldSimple>
          <w:r w:rsidR="00270167">
            <w:t xml:space="preserve"> (</w:t>
          </w:r>
          <w:fldSimple w:instr=" DOCPROPERTY Version ">
            <w:r w:rsidR="000411FE">
              <w:t>V3.1</w:t>
            </w:r>
          </w:fldSimple>
          <w:r w:rsidR="00270167">
            <w:t>)</w:t>
          </w:r>
        </w:p>
      </w:tc>
      <w:tc>
        <w:tcPr>
          <w:tcW w:w="2500" w:type="pct"/>
        </w:tcPr>
        <w:p w14:paraId="00EFABB1" w14:textId="1DBA4823" w:rsidR="00971550" w:rsidRDefault="00270167">
          <w:pPr>
            <w:pStyle w:val="ASDEFCONHeaderFooterRight"/>
            <w:rPr>
              <w:color w:val="auto"/>
            </w:rPr>
          </w:pPr>
          <w:r>
            <w:t>D-</w:t>
          </w:r>
          <w:r>
            <w:rPr>
              <w:rStyle w:val="PageNumber"/>
              <w:color w:val="auto"/>
              <w:szCs w:val="24"/>
              <w:lang w:val="en-US"/>
            </w:rPr>
            <w:fldChar w:fldCharType="begin"/>
          </w:r>
          <w:r>
            <w:rPr>
              <w:rStyle w:val="PageNumber"/>
              <w:color w:val="auto"/>
              <w:szCs w:val="24"/>
              <w:lang w:val="en-US"/>
            </w:rPr>
            <w:instrText xml:space="preserve"> PAGE </w:instrText>
          </w:r>
          <w:r>
            <w:rPr>
              <w:rStyle w:val="PageNumber"/>
              <w:color w:val="auto"/>
              <w:szCs w:val="24"/>
              <w:lang w:val="en-US"/>
            </w:rPr>
            <w:fldChar w:fldCharType="separate"/>
          </w:r>
          <w:r w:rsidR="000411FE">
            <w:rPr>
              <w:rStyle w:val="PageNumber"/>
              <w:noProof/>
              <w:color w:val="auto"/>
              <w:szCs w:val="24"/>
              <w:lang w:val="en-US"/>
            </w:rPr>
            <w:t>1</w:t>
          </w:r>
          <w:r>
            <w:rPr>
              <w:rStyle w:val="PageNumber"/>
              <w:color w:val="auto"/>
              <w:szCs w:val="24"/>
              <w:lang w:val="en-US"/>
            </w:rPr>
            <w:fldChar w:fldCharType="end"/>
          </w:r>
        </w:p>
      </w:tc>
    </w:tr>
    <w:tr w:rsidR="00867164" w14:paraId="54FB1E05" w14:textId="77777777">
      <w:tc>
        <w:tcPr>
          <w:tcW w:w="5000" w:type="pct"/>
          <w:gridSpan w:val="2"/>
        </w:tcPr>
        <w:p w14:paraId="0D0D5ED1" w14:textId="30A2BD40" w:rsidR="00971550" w:rsidRDefault="0061153E">
          <w:pPr>
            <w:pStyle w:val="ASDEFCONHeaderFooterClassification"/>
          </w:pPr>
          <w:fldSimple w:instr=" DOCPROPERTY Classification ">
            <w:r w:rsidR="000411FE">
              <w:t>OFFICIAL</w:t>
            </w:r>
          </w:fldSimple>
        </w:p>
      </w:tc>
    </w:tr>
  </w:tbl>
  <w:p w14:paraId="40BB9930" w14:textId="77777777" w:rsidR="00971550" w:rsidRDefault="000411FE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6C45" w14:textId="77777777" w:rsidR="00761363" w:rsidRDefault="007613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B8853" w14:textId="77777777" w:rsidR="0061153E" w:rsidRDefault="0061153E">
      <w:pPr>
        <w:spacing w:after="0"/>
      </w:pPr>
      <w:r>
        <w:separator/>
      </w:r>
    </w:p>
  </w:footnote>
  <w:footnote w:type="continuationSeparator" w:id="0">
    <w:p w14:paraId="73CFFB19" w14:textId="77777777" w:rsidR="0061153E" w:rsidRDefault="0061153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7D132" w14:textId="77777777" w:rsidR="00761363" w:rsidRDefault="007613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867164" w14:paraId="27BC61F4" w14:textId="77777777">
      <w:tc>
        <w:tcPr>
          <w:tcW w:w="5000" w:type="pct"/>
          <w:gridSpan w:val="2"/>
        </w:tcPr>
        <w:p w14:paraId="1A220F94" w14:textId="0081A9D5" w:rsidR="00971550" w:rsidRDefault="0061153E">
          <w:pPr>
            <w:pStyle w:val="ASDEFCONHeaderFooterClassification"/>
          </w:pPr>
          <w:fldSimple w:instr=" DOCPROPERTY Classification ">
            <w:r w:rsidR="000411FE">
              <w:t>OFFICIAL</w:t>
            </w:r>
          </w:fldSimple>
        </w:p>
      </w:tc>
    </w:tr>
    <w:tr w:rsidR="00867164" w14:paraId="7152A5EA" w14:textId="77777777">
      <w:tc>
        <w:tcPr>
          <w:tcW w:w="2500" w:type="pct"/>
        </w:tcPr>
        <w:p w14:paraId="0106A888" w14:textId="5097B829" w:rsidR="00971550" w:rsidRDefault="0061153E">
          <w:pPr>
            <w:pStyle w:val="ASDEFCONHeaderFooterLeft"/>
          </w:pPr>
          <w:fldSimple w:instr=" DOCPROPERTY Header_Left ">
            <w:r w:rsidR="000411FE">
              <w:t>ASDEFCON (Support Short)</w:t>
            </w:r>
          </w:fldSimple>
        </w:p>
      </w:tc>
      <w:tc>
        <w:tcPr>
          <w:tcW w:w="2500" w:type="pct"/>
        </w:tcPr>
        <w:p w14:paraId="777C298B" w14:textId="5800A64E" w:rsidR="00971550" w:rsidRDefault="0061153E">
          <w:pPr>
            <w:pStyle w:val="ASDEFCONHeaderFooterRight"/>
          </w:pPr>
          <w:fldSimple w:instr=" DOCPROPERTY Header_Right ">
            <w:r w:rsidR="000411FE">
              <w:t>Part 2</w:t>
            </w:r>
          </w:fldSimple>
        </w:p>
      </w:tc>
    </w:tr>
  </w:tbl>
  <w:p w14:paraId="0AB40775" w14:textId="3F6F6A59" w:rsidR="00971550" w:rsidRDefault="001B21BF" w:rsidP="00D22ADF">
    <w:pPr>
      <w:pStyle w:val="ASDEFCONHeaderFooterClassification"/>
    </w:pPr>
    <w:r>
      <w:t>Attachment 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EACE6" w14:textId="77777777" w:rsidR="00761363" w:rsidRDefault="007613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99ACF186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3B3A75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1CF4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8AD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ECB3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765F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CE8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045A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F2D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9C6A0042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5254C6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EEE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58CF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2010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BE8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C0E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06C6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8AB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756E8E64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109215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FA0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44E9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6A9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9C4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E451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C098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46E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C32276CC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E45072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952D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E20D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7816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9C1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D66F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3EC9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D4E02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798679F4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E44CEF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346B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6E9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C4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A6D6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3C2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8CB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42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B356954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2AEABF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A84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4ED5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441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6886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949C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C08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101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1A1611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8A9C23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A4A4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56A0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54B4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6E0D0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4E4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60C6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CE56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CC749F"/>
    <w:multiLevelType w:val="hybridMultilevel"/>
    <w:tmpl w:val="D800FA5E"/>
    <w:lvl w:ilvl="0" w:tplc="D856F232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F3546310" w:tentative="1">
      <w:start w:val="1"/>
      <w:numFmt w:val="lowerLetter"/>
      <w:lvlText w:val="%2."/>
      <w:lvlJc w:val="left"/>
      <w:pPr>
        <w:ind w:left="3240" w:hanging="360"/>
      </w:pPr>
    </w:lvl>
    <w:lvl w:ilvl="2" w:tplc="EE1E978E" w:tentative="1">
      <w:start w:val="1"/>
      <w:numFmt w:val="lowerRoman"/>
      <w:lvlText w:val="%3."/>
      <w:lvlJc w:val="right"/>
      <w:pPr>
        <w:ind w:left="3960" w:hanging="180"/>
      </w:pPr>
    </w:lvl>
    <w:lvl w:ilvl="3" w:tplc="9DD8E894" w:tentative="1">
      <w:start w:val="1"/>
      <w:numFmt w:val="decimal"/>
      <w:lvlText w:val="%4."/>
      <w:lvlJc w:val="left"/>
      <w:pPr>
        <w:ind w:left="4680" w:hanging="360"/>
      </w:pPr>
    </w:lvl>
    <w:lvl w:ilvl="4" w:tplc="F20C7C88" w:tentative="1">
      <w:start w:val="1"/>
      <w:numFmt w:val="lowerLetter"/>
      <w:lvlText w:val="%5."/>
      <w:lvlJc w:val="left"/>
      <w:pPr>
        <w:ind w:left="5400" w:hanging="360"/>
      </w:pPr>
    </w:lvl>
    <w:lvl w:ilvl="5" w:tplc="F0B28972" w:tentative="1">
      <w:start w:val="1"/>
      <w:numFmt w:val="lowerRoman"/>
      <w:lvlText w:val="%6."/>
      <w:lvlJc w:val="right"/>
      <w:pPr>
        <w:ind w:left="6120" w:hanging="180"/>
      </w:pPr>
    </w:lvl>
    <w:lvl w:ilvl="6" w:tplc="78CC8A2E" w:tentative="1">
      <w:start w:val="1"/>
      <w:numFmt w:val="decimal"/>
      <w:lvlText w:val="%7."/>
      <w:lvlJc w:val="left"/>
      <w:pPr>
        <w:ind w:left="6840" w:hanging="360"/>
      </w:pPr>
    </w:lvl>
    <w:lvl w:ilvl="7" w:tplc="8FE852C8" w:tentative="1">
      <w:start w:val="1"/>
      <w:numFmt w:val="lowerLetter"/>
      <w:lvlText w:val="%8."/>
      <w:lvlJc w:val="left"/>
      <w:pPr>
        <w:ind w:left="7560" w:hanging="360"/>
      </w:pPr>
    </w:lvl>
    <w:lvl w:ilvl="8" w:tplc="171CF234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6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7"/>
  </w:num>
  <w:num w:numId="3">
    <w:abstractNumId w:val="22"/>
  </w:num>
  <w:num w:numId="4">
    <w:abstractNumId w:val="13"/>
  </w:num>
  <w:num w:numId="5">
    <w:abstractNumId w:val="19"/>
  </w:num>
  <w:num w:numId="6">
    <w:abstractNumId w:val="1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29"/>
  </w:num>
  <w:num w:numId="12">
    <w:abstractNumId w:val="38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36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5"/>
  </w:num>
  <w:num w:numId="22">
    <w:abstractNumId w:val="39"/>
  </w:num>
  <w:num w:numId="23">
    <w:abstractNumId w:val="23"/>
  </w:num>
  <w:num w:numId="24">
    <w:abstractNumId w:val="30"/>
  </w:num>
  <w:num w:numId="25">
    <w:abstractNumId w:val="44"/>
  </w:num>
  <w:num w:numId="26">
    <w:abstractNumId w:val="16"/>
  </w:num>
  <w:num w:numId="27">
    <w:abstractNumId w:val="20"/>
  </w:num>
  <w:num w:numId="28">
    <w:abstractNumId w:val="46"/>
  </w:num>
  <w:num w:numId="29">
    <w:abstractNumId w:val="11"/>
  </w:num>
  <w:num w:numId="30">
    <w:abstractNumId w:val="9"/>
  </w:num>
  <w:num w:numId="31">
    <w:abstractNumId w:val="2"/>
  </w:num>
  <w:num w:numId="32">
    <w:abstractNumId w:val="6"/>
  </w:num>
  <w:num w:numId="33">
    <w:abstractNumId w:val="18"/>
  </w:num>
  <w:num w:numId="34">
    <w:abstractNumId w:val="0"/>
  </w:num>
  <w:num w:numId="35">
    <w:abstractNumId w:val="26"/>
  </w:num>
  <w:num w:numId="36">
    <w:abstractNumId w:val="41"/>
  </w:num>
  <w:num w:numId="37">
    <w:abstractNumId w:val="37"/>
  </w:num>
  <w:num w:numId="38">
    <w:abstractNumId w:val="4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7"/>
  </w:num>
  <w:num w:numId="42">
    <w:abstractNumId w:val="45"/>
  </w:num>
  <w:num w:numId="43">
    <w:abstractNumId w:val="17"/>
  </w:num>
  <w:num w:numId="44">
    <w:abstractNumId w:val="28"/>
  </w:num>
  <w:num w:numId="45">
    <w:abstractNumId w:val="10"/>
  </w:num>
  <w:num w:numId="46">
    <w:abstractNumId w:val="4"/>
  </w:num>
  <w:num w:numId="47">
    <w:abstractNumId w:val="32"/>
  </w:num>
  <w:num w:numId="48">
    <w:abstractNumId w:val="21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0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164"/>
    <w:rsid w:val="000411FE"/>
    <w:rsid w:val="001B21BF"/>
    <w:rsid w:val="00270167"/>
    <w:rsid w:val="0061153E"/>
    <w:rsid w:val="006759FE"/>
    <w:rsid w:val="00761363"/>
    <w:rsid w:val="00867164"/>
    <w:rsid w:val="00916E43"/>
    <w:rsid w:val="00970E15"/>
    <w:rsid w:val="00C51DE0"/>
    <w:rsid w:val="00C71F4B"/>
    <w:rsid w:val="00C93E3F"/>
    <w:rsid w:val="00D22ADF"/>
    <w:rsid w:val="00F90136"/>
    <w:rsid w:val="00FC15D6"/>
    <w:rsid w:val="00FF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91C3771"/>
  <w15:docId w15:val="{42C2D6F7-A08A-4C17-A632-EC700D41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15D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FC15D6"/>
    <w:pPr>
      <w:keepNext/>
      <w:numPr>
        <w:numId w:val="2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C15D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uiPriority w:val="9"/>
    <w:qFormat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FC15D6"/>
    <w:rPr>
      <w:rFonts w:ascii="Cambria" w:hAnsi="Cambria"/>
      <w:b/>
      <w:bCs/>
      <w:color w:val="4F81BD"/>
      <w:sz w:val="26"/>
      <w:szCs w:val="26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right" w:pos="9090"/>
      </w:tabs>
      <w:spacing w:after="0"/>
      <w:jc w:val="left"/>
    </w:pPr>
    <w:rPr>
      <w:sz w:val="16"/>
      <w:lang w:val="en-US"/>
    </w:rPr>
  </w:style>
  <w:style w:type="paragraph" w:styleId="Header">
    <w:name w:val="header"/>
    <w:basedOn w:val="Normal"/>
    <w:pPr>
      <w:tabs>
        <w:tab w:val="right" w:pos="9090"/>
      </w:tabs>
      <w:spacing w:after="0"/>
      <w:ind w:left="864" w:hanging="864"/>
      <w:jc w:val="left"/>
    </w:pPr>
    <w:rPr>
      <w:sz w:val="16"/>
      <w:lang w:val="en-US"/>
    </w:rPr>
  </w:style>
  <w:style w:type="paragraph" w:styleId="TOC1">
    <w:name w:val="toc 1"/>
    <w:next w:val="ASDEFCONNormal"/>
    <w:autoRedefine/>
    <w:uiPriority w:val="39"/>
    <w:rsid w:val="00FC15D6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FC15D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C15D6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FC15D6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C15D6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C15D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C15D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C15D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C15D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C15D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C15D6"/>
    <w:pPr>
      <w:spacing w:after="100"/>
      <w:ind w:left="1600"/>
    </w:pPr>
  </w:style>
  <w:style w:type="paragraph" w:styleId="BalloonText">
    <w:name w:val="Balloon Text"/>
    <w:basedOn w:val="Normal"/>
    <w:autoRedefine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</w:style>
  <w:style w:type="paragraph" w:customStyle="1" w:styleId="Style1">
    <w:name w:val="Style1"/>
    <w:basedOn w:val="Heading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FC15D6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FC15D6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FC15D6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C15D6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FC15D6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FC15D6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rsid w:val="00FC15D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C15D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C15D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FC15D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C15D6"/>
    <w:pPr>
      <w:keepNext/>
      <w:keepLines/>
      <w:numPr>
        <w:numId w:val="1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C15D6"/>
    <w:pPr>
      <w:numPr>
        <w:ilvl w:val="1"/>
        <w:numId w:val="1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C15D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C15D6"/>
    <w:pPr>
      <w:numPr>
        <w:ilvl w:val="2"/>
        <w:numId w:val="1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C15D6"/>
    <w:pPr>
      <w:numPr>
        <w:ilvl w:val="3"/>
        <w:numId w:val="19"/>
      </w:numPr>
    </w:pPr>
    <w:rPr>
      <w:szCs w:val="24"/>
    </w:rPr>
  </w:style>
  <w:style w:type="paragraph" w:customStyle="1" w:styleId="ASDEFCONCoverTitle">
    <w:name w:val="ASDEFCON Cover Title"/>
    <w:rsid w:val="00FC15D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C15D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C15D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C15D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C15D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C15D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C15D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C15D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C15D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C15D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C15D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C15D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C15D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C15D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C15D6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C15D6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C15D6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C15D6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C15D6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C15D6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C15D6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C15D6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C15D6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C15D6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C15D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C15D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C15D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C15D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C15D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C15D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C15D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C15D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C15D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C15D6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C15D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C15D6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FC15D6"/>
    <w:rPr>
      <w:szCs w:val="20"/>
    </w:rPr>
  </w:style>
  <w:style w:type="paragraph" w:customStyle="1" w:styleId="ASDEFCONTextBlock">
    <w:name w:val="ASDEFCON TextBlock"/>
    <w:basedOn w:val="ASDEFCONNormal"/>
    <w:qFormat/>
    <w:rsid w:val="00FC15D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C15D6"/>
    <w:pPr>
      <w:numPr>
        <w:numId w:val="25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FC15D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C15D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C15D6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C15D6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C15D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C15D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C15D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C15D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C15D6"/>
    <w:pPr>
      <w:numPr>
        <w:numId w:val="26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FC15D6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C15D6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C15D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C15D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C15D6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FC15D6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C15D6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C15D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C15D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C15D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C15D6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C15D6"/>
    <w:pPr>
      <w:numPr>
        <w:ilvl w:val="6"/>
        <w:numId w:val="27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C15D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C15D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C15D6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C15D6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FC15D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C15D6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C15D6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FC15D6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C15D6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C15D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C15D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C15D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C15D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C15D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C15D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C15D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C15D6"/>
    <w:pPr>
      <w:numPr>
        <w:ilvl w:val="1"/>
        <w:numId w:val="36"/>
      </w:numPr>
    </w:p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Cs w:val="20"/>
    </w:rPr>
  </w:style>
  <w:style w:type="character" w:customStyle="1" w:styleId="CommentTextChar">
    <w:name w:val="Comment Text Char"/>
    <w:link w:val="CommentText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link w:val="CommentSubject"/>
    <w:rPr>
      <w:rFonts w:ascii="Arial" w:hAnsi="Arial"/>
      <w:b/>
      <w:bCs/>
    </w:rPr>
  </w:style>
  <w:style w:type="character" w:styleId="Hyperlink">
    <w:name w:val="Hyperlink"/>
    <w:uiPriority w:val="99"/>
    <w:unhideWhenUsed/>
    <w:rsid w:val="00FC15D6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FC15D6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3B68"/>
    <w:pPr>
      <w:numPr>
        <w:numId w:val="0"/>
      </w:numPr>
      <w:outlineLvl w:val="9"/>
    </w:pPr>
    <w:rPr>
      <w:rFonts w:ascii="Calibri Light" w:hAnsi="Calibri Ligh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ale.banerjee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19</TotalTime>
  <Pages>1</Pages>
  <Words>174</Words>
  <Characters>1022</Characters>
  <Application>Microsoft Office Word</Application>
  <DocSecurity>0</DocSecurity>
  <Lines>53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12</cp:revision>
  <dcterms:created xsi:type="dcterms:W3CDTF">2020-09-10T22:45:00Z</dcterms:created>
  <dcterms:modified xsi:type="dcterms:W3CDTF">2024-08-22T00:03:00Z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hurstDocRef">
    <vt:lpwstr>AUSTRALIA\SAMK\255709924.03</vt:lpwstr>
  </property>
  <property fmtid="{D5CDD505-2E9C-101B-9397-08002B2CF9AE}" pid="3" name="Classification">
    <vt:lpwstr>OFFICIAL</vt:lpwstr>
  </property>
  <property fmtid="{D5CDD505-2E9C-101B-9397-08002B2CF9AE}" pid="4" name="DMSAuthorID">
    <vt:lpwstr>SAMK</vt:lpwstr>
  </property>
  <property fmtid="{D5CDD505-2E9C-101B-9397-08002B2CF9AE}" pid="5" name="DMSCountry">
    <vt:lpwstr>AUSTRALIA</vt:lpwstr>
  </property>
  <property fmtid="{D5CDD505-2E9C-101B-9397-08002B2CF9AE}" pid="6" name="DocID">
    <vt:lpwstr>255709924.03</vt:lpwstr>
  </property>
  <property fmtid="{D5CDD505-2E9C-101B-9397-08002B2CF9AE}" pid="7" name="Footer_Left">
    <vt:lpwstr>Attachment to Draft Conditions of Contract</vt:lpwstr>
  </property>
  <property fmtid="{D5CDD505-2E9C-101B-9397-08002B2CF9AE}" pid="8" name="Header_Left">
    <vt:lpwstr>ASDEFCON (Support Short)</vt:lpwstr>
  </property>
  <property fmtid="{D5CDD505-2E9C-101B-9397-08002B2CF9AE}" pid="9" name="Header_Right">
    <vt:lpwstr>Part 2</vt:lpwstr>
  </property>
  <property fmtid="{D5CDD505-2E9C-101B-9397-08002B2CF9AE}" pid="10" name="Objective-Caveats">
    <vt:lpwstr/>
  </property>
  <property fmtid="{D5CDD505-2E9C-101B-9397-08002B2CF9AE}" pid="11" name="Objective-Classification">
    <vt:lpwstr>Official</vt:lpwstr>
  </property>
  <property fmtid="{D5CDD505-2E9C-101B-9397-08002B2CF9AE}" pid="12" name="Objective-Comment">
    <vt:lpwstr/>
  </property>
  <property fmtid="{D5CDD505-2E9C-101B-9397-08002B2CF9AE}" pid="13" name="Objective-CreationStamp">
    <vt:filetime>2024-07-26T04:19:33Z</vt:filetime>
  </property>
  <property fmtid="{D5CDD505-2E9C-101B-9397-08002B2CF9AE}" pid="14" name="Objective-DatePublished">
    <vt:lpwstr/>
  </property>
  <property fmtid="{D5CDD505-2E9C-101B-9397-08002B2CF9AE}" pid="15" name="Objective-Document Type [system]">
    <vt:lpwstr/>
  </property>
  <property fmtid="{D5CDD505-2E9C-101B-9397-08002B2CF9AE}" pid="16" name="Objective-FileNumber">
    <vt:lpwstr/>
  </property>
  <property fmtid="{D5CDD505-2E9C-101B-9397-08002B2CF9AE}" pid="17" name="Objective-Id">
    <vt:lpwstr>BM77904145</vt:lpwstr>
  </property>
  <property fmtid="{D5CDD505-2E9C-101B-9397-08002B2CF9AE}" pid="18" name="Objective-IsApproved">
    <vt:bool>false</vt:bool>
  </property>
  <property fmtid="{D5CDD505-2E9C-101B-9397-08002B2CF9AE}" pid="19" name="Objective-IsPublished">
    <vt:bool>false</vt:bool>
  </property>
  <property fmtid="{D5CDD505-2E9C-101B-9397-08002B2CF9AE}" pid="20" name="Objective-ModificationStamp">
    <vt:filetime>2024-08-05T23:42:13Z</vt:filetime>
  </property>
  <property fmtid="{D5CDD505-2E9C-101B-9397-08002B2CF9AE}" pid="21" name="Objective-Owner">
    <vt:lpwstr>Laursen, Christian Mr</vt:lpwstr>
  </property>
  <property fmtid="{D5CDD505-2E9C-101B-9397-08002B2CF9AE}" pid="22" name="Objective-Parent">
    <vt:lpwstr>04 Attachments to the Conditions of Contract</vt:lpwstr>
  </property>
  <property fmtid="{D5CDD505-2E9C-101B-9397-08002B2CF9AE}" pid="23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4" name="Objective-State">
    <vt:lpwstr>Being Edited</vt:lpwstr>
  </property>
  <property fmtid="{D5CDD505-2E9C-101B-9397-08002B2CF9AE}" pid="25" name="Objective-Title">
    <vt:lpwstr>010_ASDEFCON_SPTS_V3.1_COC_ATTD_TDSRSchedule</vt:lpwstr>
  </property>
  <property fmtid="{D5CDD505-2E9C-101B-9397-08002B2CF9AE}" pid="26" name="Objective-Version">
    <vt:lpwstr>1.2</vt:lpwstr>
  </property>
  <property fmtid="{D5CDD505-2E9C-101B-9397-08002B2CF9AE}" pid="27" name="Objective-VersionComment">
    <vt:lpwstr/>
  </property>
  <property fmtid="{D5CDD505-2E9C-101B-9397-08002B2CF9AE}" pid="28" name="Objective-VersionNumber">
    <vt:i4>3</vt:i4>
  </property>
  <property fmtid="{D5CDD505-2E9C-101B-9397-08002B2CF9AE}" pid="29" name="Version">
    <vt:lpwstr>V3.1</vt:lpwstr>
  </property>
  <property fmtid="{D5CDD505-2E9C-101B-9397-08002B2CF9AE}" pid="30" name="Objective-Reason for Security Classification Change [system]">
    <vt:lpwstr/>
  </property>
</Properties>
</file>