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28B31" w14:textId="77777777" w:rsidR="00981FD5" w:rsidRDefault="00607D1C" w:rsidP="00607D1C">
      <w:pPr>
        <w:pStyle w:val="ASDEFCONTitle"/>
      </w:pPr>
      <w:r>
        <w:t>Recurring Services</w:t>
      </w:r>
    </w:p>
    <w:p w14:paraId="1CB2E64B" w14:textId="77777777" w:rsidR="00607D1C" w:rsidRDefault="00607D1C" w:rsidP="00607D1C">
      <w:pPr>
        <w:pStyle w:val="ATTANNLV1-ASDEFCON"/>
      </w:pPr>
      <w:r>
        <w:t>Introduction</w:t>
      </w:r>
    </w:p>
    <w:p w14:paraId="16398445" w14:textId="7F596A51" w:rsidR="00607D1C" w:rsidRDefault="006F4864" w:rsidP="00CB1CCF">
      <w:pPr>
        <w:pStyle w:val="ATTANNLV2-ASDEFCON"/>
      </w:pPr>
      <w:r>
        <w:t xml:space="preserve">This Annex B identifies </w:t>
      </w:r>
      <w:r w:rsidR="00CB1CCF">
        <w:t>the pricing periods for Recurring Services Fees (including Core Services Fees and</w:t>
      </w:r>
      <w:r w:rsidR="006E62B9">
        <w:t>,</w:t>
      </w:r>
      <w:r w:rsidR="00CB1CCF">
        <w:t xml:space="preserve"> </w:t>
      </w:r>
      <w:r w:rsidR="006E62B9">
        <w:t xml:space="preserve">if applicable, </w:t>
      </w:r>
      <w:r w:rsidR="00CB1CCF">
        <w:t>Excluded Services Fees) and the corresponding schedules containing pricing information</w:t>
      </w:r>
      <w:r w:rsidR="00607D1C">
        <w:t>.</w:t>
      </w:r>
    </w:p>
    <w:p w14:paraId="3794074F" w14:textId="77777777" w:rsidR="00607D1C" w:rsidRDefault="00607D1C" w:rsidP="00607D1C">
      <w:pPr>
        <w:pStyle w:val="ATTANNLV1-ASDEFCON"/>
      </w:pPr>
      <w:r>
        <w:t>Core Services</w:t>
      </w:r>
    </w:p>
    <w:p w14:paraId="44E93D09" w14:textId="146BA0B4" w:rsidR="00607D1C" w:rsidRDefault="00607D1C" w:rsidP="00607D1C">
      <w:pPr>
        <w:pStyle w:val="NoteToDrafters-ASDEFCON"/>
      </w:pPr>
      <w:r>
        <w:t xml:space="preserve">Note to drafters:  Update </w:t>
      </w:r>
      <w:r w:rsidRPr="002D5ADE">
        <w:fldChar w:fldCharType="begin"/>
      </w:r>
      <w:r w:rsidRPr="002D5ADE">
        <w:instrText xml:space="preserve"> REF _Ref79755068 \h </w:instrText>
      </w:r>
      <w:r w:rsidRPr="0069678D">
        <w:instrText xml:space="preserve"> \* MERGEFORMAT </w:instrText>
      </w:r>
      <w:r w:rsidRPr="002D5ADE">
        <w:fldChar w:fldCharType="separate"/>
      </w:r>
      <w:r w:rsidR="00B706D6" w:rsidRPr="004B2953">
        <w:t xml:space="preserve">Table </w:t>
      </w:r>
      <w:r w:rsidR="00B706D6">
        <w:t>B-</w:t>
      </w:r>
      <w:r w:rsidR="00B706D6" w:rsidRPr="004B2953">
        <w:t>B-</w:t>
      </w:r>
      <w:r w:rsidR="00B706D6" w:rsidRPr="00B706D6">
        <w:t>1</w:t>
      </w:r>
      <w:r w:rsidRPr="002D5ADE">
        <w:fldChar w:fldCharType="end"/>
      </w:r>
      <w:r>
        <w:t xml:space="preserve"> to include pricing periods for </w:t>
      </w:r>
      <w:r w:rsidR="009B2BB3">
        <w:t xml:space="preserve">the </w:t>
      </w:r>
      <w:r>
        <w:t>Core Services, including likely Ramp Up stages if the</w:t>
      </w:r>
      <w:r w:rsidR="009B2BB3">
        <w:t xml:space="preserve"> Contract is</w:t>
      </w:r>
      <w:r>
        <w:t xml:space="preserve"> </w:t>
      </w:r>
      <w:r w:rsidR="009B2BB3">
        <w:t>expected</w:t>
      </w:r>
      <w:r>
        <w:t xml:space="preserve"> </w:t>
      </w:r>
      <w:r w:rsidR="009B2BB3">
        <w:t>include</w:t>
      </w:r>
      <w:r>
        <w:t xml:space="preserve"> Ramp Up (and which may be updated </w:t>
      </w:r>
      <w:r w:rsidR="009B2BB3">
        <w:t>for</w:t>
      </w:r>
      <w:r>
        <w:t xml:space="preserve"> the successful tenderer’s response), and subsequent annual periods </w:t>
      </w:r>
      <w:r w:rsidR="009B2BB3">
        <w:t>for the remaining</w:t>
      </w:r>
      <w:r>
        <w:t xml:space="preserve"> Contract Term.  Refer also to TDR D-3</w:t>
      </w:r>
      <w:r w:rsidR="009B2BB3">
        <w:t>, and</w:t>
      </w:r>
      <w:r>
        <w:t xml:space="preserve"> </w:t>
      </w:r>
      <w:r w:rsidR="009B2BB3">
        <w:t>for</w:t>
      </w:r>
      <w:r>
        <w:t xml:space="preserve"> information about Ramp Up refer to the SOW Tailoring Guide.</w:t>
      </w:r>
    </w:p>
    <w:p w14:paraId="42D76C38" w14:textId="3B7A7C1D" w:rsidR="00607D1C" w:rsidRDefault="009B2BB3" w:rsidP="00607D1C">
      <w:pPr>
        <w:pStyle w:val="NoteToDrafters-ASDEFCON"/>
        <w:keepNext w:val="0"/>
      </w:pPr>
      <w:r>
        <w:t>N</w:t>
      </w:r>
      <w:r w:rsidR="00607D1C">
        <w:t>ote that</w:t>
      </w:r>
      <w:r w:rsidR="0068024A">
        <w:t xml:space="preserve"> </w:t>
      </w:r>
      <w:r w:rsidR="00607D1C" w:rsidRPr="00EB0ED9">
        <w:t xml:space="preserve">the </w:t>
      </w:r>
      <w:r w:rsidR="0068024A">
        <w:t>performance management framework</w:t>
      </w:r>
      <w:r w:rsidR="00607D1C" w:rsidRPr="00EB0ED9">
        <w:t xml:space="preserve"> </w:t>
      </w:r>
      <w:r w:rsidR="0068024A">
        <w:t>may also change</w:t>
      </w:r>
      <w:r w:rsidR="00607D1C">
        <w:t xml:space="preserve"> </w:t>
      </w:r>
      <w:r w:rsidR="00607D1C" w:rsidRPr="00EB0ED9">
        <w:t xml:space="preserve">during a </w:t>
      </w:r>
      <w:r w:rsidR="0068024A">
        <w:t>Performance Implementation Period (</w:t>
      </w:r>
      <w:r w:rsidR="00607D1C" w:rsidRPr="00EB0ED9">
        <w:t>PIP</w:t>
      </w:r>
      <w:r w:rsidR="0068024A">
        <w:t>),</w:t>
      </w:r>
      <w:r w:rsidR="0068024A" w:rsidRPr="0068024A">
        <w:t xml:space="preserve"> </w:t>
      </w:r>
      <w:r w:rsidR="0068024A">
        <w:t>if applicable</w:t>
      </w:r>
      <w:r w:rsidR="00607D1C">
        <w:t xml:space="preserve">. </w:t>
      </w:r>
      <w:r w:rsidR="00607D1C" w:rsidRPr="00EB0ED9">
        <w:t xml:space="preserve"> </w:t>
      </w:r>
      <w:r w:rsidR="00607D1C">
        <w:t>W</w:t>
      </w:r>
      <w:r w:rsidR="00607D1C" w:rsidRPr="00EB0ED9">
        <w:t xml:space="preserve">hile not </w:t>
      </w:r>
      <w:r w:rsidR="000D2643">
        <w:t>always</w:t>
      </w:r>
      <w:r w:rsidR="00607D1C">
        <w:t xml:space="preserve"> </w:t>
      </w:r>
      <w:r w:rsidR="00607D1C" w:rsidRPr="00EB0ED9">
        <w:t xml:space="preserve">aligned, PIP and Ramp Up </w:t>
      </w:r>
      <w:r w:rsidR="00607D1C">
        <w:t>stages</w:t>
      </w:r>
      <w:r w:rsidR="00607D1C" w:rsidRPr="00EB0ED9">
        <w:t xml:space="preserve"> </w:t>
      </w:r>
      <w:r w:rsidR="00607D1C">
        <w:t>should</w:t>
      </w:r>
      <w:r w:rsidR="00607D1C" w:rsidRPr="00EB0ED9">
        <w:t xml:space="preserve"> be consistent</w:t>
      </w:r>
      <w:r w:rsidR="00607D1C">
        <w:t xml:space="preserve">. </w:t>
      </w:r>
      <w:r w:rsidR="00607D1C" w:rsidRPr="00EB0ED9">
        <w:t xml:space="preserve"> </w:t>
      </w:r>
      <w:r w:rsidR="00607D1C" w:rsidRPr="00F32E95">
        <w:t xml:space="preserve">Refer to </w:t>
      </w:r>
      <w:r w:rsidR="00607D1C" w:rsidRPr="004C7C75">
        <w:t>Annex C</w:t>
      </w:r>
      <w:r w:rsidR="00607D1C" w:rsidRPr="00F32E95">
        <w:t xml:space="preserve"> to</w:t>
      </w:r>
      <w:r w:rsidR="00607D1C">
        <w:t xml:space="preserve"> this</w:t>
      </w:r>
      <w:r w:rsidR="00607D1C" w:rsidRPr="00F32E95">
        <w:t xml:space="preserve"> Attachment B and Annex B to Attachment P of the draft COC.</w:t>
      </w:r>
    </w:p>
    <w:p w14:paraId="5D5F740A" w14:textId="39ED47FA" w:rsidR="00607D1C" w:rsidRPr="00EB0ED9" w:rsidRDefault="00607D1C" w:rsidP="00607D1C">
      <w:pPr>
        <w:pStyle w:val="NoteToTenderers-ASDEFCON"/>
      </w:pPr>
      <w:r>
        <w:t xml:space="preserve">Note to tenderers: </w:t>
      </w:r>
      <w:r w:rsidRPr="002D5ADE">
        <w:fldChar w:fldCharType="begin"/>
      </w:r>
      <w:r w:rsidRPr="002D5ADE">
        <w:instrText xml:space="preserve"> REF _Ref79755068 \h </w:instrText>
      </w:r>
      <w:r w:rsidRPr="00AA336D">
        <w:instrText xml:space="preserve"> \* MERGEFORMAT </w:instrText>
      </w:r>
      <w:r w:rsidRPr="002D5ADE">
        <w:fldChar w:fldCharType="separate"/>
      </w:r>
      <w:r w:rsidR="00B706D6" w:rsidRPr="004B2953">
        <w:t xml:space="preserve">Table </w:t>
      </w:r>
      <w:r w:rsidR="00B706D6">
        <w:t>B-</w:t>
      </w:r>
      <w:r w:rsidR="00B706D6" w:rsidRPr="004B2953">
        <w:t>B-</w:t>
      </w:r>
      <w:r w:rsidR="00B706D6" w:rsidRPr="00B706D6">
        <w:t>1</w:t>
      </w:r>
      <w:r w:rsidRPr="002D5ADE">
        <w:fldChar w:fldCharType="end"/>
      </w:r>
      <w:r w:rsidRPr="002D5ADE">
        <w:t xml:space="preserve"> </w:t>
      </w:r>
      <w:r>
        <w:t>will be updated for any resultant Contract, subject to the successful tenderer’s response to TDR D-3 (including changes to Ramp Up stages, if applicable) and any negotiated changes.</w:t>
      </w:r>
    </w:p>
    <w:bookmarkStart w:id="0" w:name="_Ref420071919"/>
    <w:p w14:paraId="31F3795A" w14:textId="4B0853C9" w:rsidR="00607D1C" w:rsidRDefault="00607D1C" w:rsidP="00CB1CCF">
      <w:pPr>
        <w:pStyle w:val="ATTANNLV2-ASDEFCON"/>
      </w:pPr>
      <w:r w:rsidRPr="002D5ADE">
        <w:fldChar w:fldCharType="begin"/>
      </w:r>
      <w:r w:rsidRPr="002D5ADE">
        <w:instrText xml:space="preserve"> REF _Ref79755068 \h </w:instrText>
      </w:r>
      <w:r w:rsidRPr="00AA336D">
        <w:instrText xml:space="preserve"> \* MERGEFORMAT </w:instrText>
      </w:r>
      <w:r w:rsidRPr="002D5ADE">
        <w:fldChar w:fldCharType="separate"/>
      </w:r>
      <w:r w:rsidR="00B706D6" w:rsidRPr="00B706D6">
        <w:t>Table B-B-1</w:t>
      </w:r>
      <w:r w:rsidRPr="002D5ADE">
        <w:fldChar w:fldCharType="end"/>
      </w:r>
      <w:r>
        <w:t xml:space="preserve"> identifies the schedules containing the Core Services Fees for each applicable pricing period.</w:t>
      </w:r>
    </w:p>
    <w:p w14:paraId="6D058A2A" w14:textId="026BE0AB" w:rsidR="000D2643" w:rsidRDefault="000D2643" w:rsidP="00CB1CCF">
      <w:pPr>
        <w:pStyle w:val="ATTANNLV2-ASDEFCON"/>
      </w:pPr>
      <w:r>
        <w:t>Whe</w:t>
      </w:r>
      <w:r w:rsidR="008309AD">
        <w:t>n</w:t>
      </w:r>
      <w:r>
        <w:t xml:space="preserve"> pricing periods </w:t>
      </w:r>
      <w:r w:rsidR="008309AD">
        <w:t>conclude with a Milestone, p</w:t>
      </w:r>
      <w:r>
        <w:t xml:space="preserve">rogression </w:t>
      </w:r>
      <w:r w:rsidR="008309AD">
        <w:t>to the next schedule of Core Services Fees is dependent upon satisfying the relevant Milestone criteria defined in Attachment C.</w:t>
      </w:r>
    </w:p>
    <w:p w14:paraId="648343BD" w14:textId="27063DDC" w:rsidR="00607D1C" w:rsidRDefault="00607D1C" w:rsidP="00607D1C">
      <w:pPr>
        <w:pStyle w:val="NoteToDrafters-ASDEFCON"/>
      </w:pPr>
      <w:r>
        <w:t xml:space="preserve">Note to drafters:  Example entries for the following table are to be included in TDR D-3, with worksheets </w:t>
      </w:r>
      <w:r w:rsidR="008309AD">
        <w:t xml:space="preserve">corresponding to each period included </w:t>
      </w:r>
      <w:r>
        <w:t xml:space="preserve">in the SPTPW. </w:t>
      </w:r>
      <w:r w:rsidR="006F4864">
        <w:t xml:space="preserve"> </w:t>
      </w:r>
      <w:r>
        <w:t>Refer to TDR D-3 for further information.</w:t>
      </w:r>
    </w:p>
    <w:p w14:paraId="1ACAA5E5" w14:textId="5E3F651F" w:rsidR="00607D1C" w:rsidRPr="004B2953" w:rsidRDefault="00607D1C" w:rsidP="00607D1C">
      <w:pPr>
        <w:pStyle w:val="ASDEFCONNormal"/>
        <w:keepNext/>
        <w:jc w:val="center"/>
        <w:rPr>
          <w:b/>
          <w:i/>
        </w:rPr>
      </w:pPr>
      <w:bookmarkStart w:id="1" w:name="_Ref79755068"/>
      <w:r w:rsidRPr="004B2953">
        <w:rPr>
          <w:b/>
        </w:rPr>
        <w:t xml:space="preserve">Table </w:t>
      </w:r>
      <w:r w:rsidR="006F7EA8">
        <w:rPr>
          <w:b/>
        </w:rPr>
        <w:t>B-</w:t>
      </w:r>
      <w:r w:rsidRPr="004B2953">
        <w:rPr>
          <w:b/>
        </w:rPr>
        <w:t>B-</w:t>
      </w:r>
      <w:r w:rsidRPr="004B2953">
        <w:rPr>
          <w:b/>
          <w:noProof/>
        </w:rPr>
        <w:fldChar w:fldCharType="begin"/>
      </w:r>
      <w:r w:rsidRPr="004B2953">
        <w:rPr>
          <w:b/>
          <w:noProof/>
        </w:rPr>
        <w:instrText xml:space="preserve"> SEQ Table \* ARABIC \r 1 </w:instrText>
      </w:r>
      <w:r w:rsidRPr="004B2953">
        <w:rPr>
          <w:b/>
          <w:noProof/>
        </w:rPr>
        <w:fldChar w:fldCharType="separate"/>
      </w:r>
      <w:r w:rsidR="00B706D6">
        <w:rPr>
          <w:b/>
          <w:noProof/>
        </w:rPr>
        <w:t>1</w:t>
      </w:r>
      <w:r w:rsidRPr="004B2953">
        <w:rPr>
          <w:b/>
          <w:noProof/>
        </w:rPr>
        <w:fldChar w:fldCharType="end"/>
      </w:r>
      <w:bookmarkEnd w:id="1"/>
      <w:r w:rsidRPr="004B2953">
        <w:rPr>
          <w:b/>
        </w:rPr>
        <w:t xml:space="preserve">: </w:t>
      </w:r>
      <w:r>
        <w:rPr>
          <w:b/>
        </w:rPr>
        <w:t>Pricing periods for</w:t>
      </w:r>
      <w:r w:rsidRPr="004B2953">
        <w:rPr>
          <w:b/>
        </w:rPr>
        <w:t xml:space="preserve"> Core Services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868"/>
        <w:gridCol w:w="4110"/>
        <w:gridCol w:w="4656"/>
      </w:tblGrid>
      <w:tr w:rsidR="00607D1C" w:rsidRPr="00EB0ED9" w14:paraId="0CF45092" w14:textId="77777777" w:rsidTr="006F4864">
        <w:tc>
          <w:tcPr>
            <w:tcW w:w="868" w:type="dxa"/>
            <w:shd w:val="pct15" w:color="auto" w:fill="auto"/>
          </w:tcPr>
          <w:p w14:paraId="6B4AFBCF" w14:textId="77777777" w:rsidR="00607D1C" w:rsidRPr="00EB0ED9" w:rsidRDefault="00607D1C" w:rsidP="000E7A37">
            <w:pPr>
              <w:pStyle w:val="Table8ptHeading-ASDEFCON"/>
            </w:pPr>
            <w:r>
              <w:t>No.</w:t>
            </w:r>
          </w:p>
        </w:tc>
        <w:tc>
          <w:tcPr>
            <w:tcW w:w="4110" w:type="dxa"/>
            <w:shd w:val="pct15" w:color="auto" w:fill="auto"/>
          </w:tcPr>
          <w:p w14:paraId="36AB2830" w14:textId="77777777" w:rsidR="00607D1C" w:rsidRPr="00A94516" w:rsidDel="00F1412A" w:rsidRDefault="00607D1C" w:rsidP="000E7A37">
            <w:pPr>
              <w:pStyle w:val="Table8ptHeading-ASDEFCON"/>
            </w:pPr>
            <w:r>
              <w:t>Pricing Period</w:t>
            </w:r>
          </w:p>
        </w:tc>
        <w:tc>
          <w:tcPr>
            <w:tcW w:w="4656" w:type="dxa"/>
            <w:shd w:val="pct15" w:color="auto" w:fill="auto"/>
          </w:tcPr>
          <w:p w14:paraId="5F319A2B" w14:textId="7CD89438" w:rsidR="00607D1C" w:rsidRPr="00EB0ED9" w:rsidRDefault="00CB1CCF" w:rsidP="000E7A37">
            <w:pPr>
              <w:pStyle w:val="Table8ptHeading-ASDEFCON"/>
            </w:pPr>
            <w:r>
              <w:t>Schedule</w:t>
            </w:r>
            <w:r w:rsidR="00607D1C">
              <w:t xml:space="preserve"> Reference</w:t>
            </w:r>
          </w:p>
        </w:tc>
      </w:tr>
      <w:tr w:rsidR="00607D1C" w:rsidRPr="00EB0ED9" w14:paraId="0C6B7D22" w14:textId="77777777" w:rsidTr="006F4864">
        <w:tc>
          <w:tcPr>
            <w:tcW w:w="868" w:type="dxa"/>
            <w:shd w:val="pct15" w:color="auto" w:fill="auto"/>
          </w:tcPr>
          <w:p w14:paraId="13C3A890" w14:textId="77777777" w:rsidR="00607D1C" w:rsidRPr="00C26BE6" w:rsidRDefault="00607D1C" w:rsidP="000E7A37">
            <w:pPr>
              <w:pStyle w:val="Table8ptHeading-ASDEFCON"/>
            </w:pPr>
            <w:r w:rsidRPr="00C26BE6">
              <w:t>(</w:t>
            </w:r>
            <w:r>
              <w:t>a</w:t>
            </w:r>
            <w:r w:rsidRPr="00C26BE6">
              <w:t>)</w:t>
            </w:r>
          </w:p>
        </w:tc>
        <w:tc>
          <w:tcPr>
            <w:tcW w:w="4110" w:type="dxa"/>
            <w:shd w:val="pct15" w:color="auto" w:fill="auto"/>
          </w:tcPr>
          <w:p w14:paraId="542666A4" w14:textId="77777777" w:rsidR="00607D1C" w:rsidRPr="00A94516" w:rsidRDefault="00607D1C" w:rsidP="000E7A37">
            <w:pPr>
              <w:pStyle w:val="Table8ptHeading-ASDEFCON"/>
            </w:pPr>
            <w:r w:rsidRPr="00A94516">
              <w:t>(</w:t>
            </w:r>
            <w:r>
              <w:t>b</w:t>
            </w:r>
            <w:r w:rsidRPr="00A94516">
              <w:t>)</w:t>
            </w:r>
          </w:p>
        </w:tc>
        <w:tc>
          <w:tcPr>
            <w:tcW w:w="4656" w:type="dxa"/>
            <w:shd w:val="pct15" w:color="auto" w:fill="auto"/>
          </w:tcPr>
          <w:p w14:paraId="603C829C" w14:textId="77777777" w:rsidR="00607D1C" w:rsidRPr="00C26BE6" w:rsidRDefault="00607D1C" w:rsidP="000E7A37">
            <w:pPr>
              <w:pStyle w:val="Table8ptHeading-ASDEFCON"/>
            </w:pPr>
            <w:r w:rsidRPr="00C26BE6">
              <w:t>(</w:t>
            </w:r>
            <w:r>
              <w:t>c</w:t>
            </w:r>
            <w:r w:rsidRPr="00C26BE6">
              <w:t>)</w:t>
            </w:r>
          </w:p>
        </w:tc>
      </w:tr>
      <w:tr w:rsidR="00607D1C" w:rsidRPr="00EB0ED9" w14:paraId="140FE229" w14:textId="77777777" w:rsidTr="006F4864">
        <w:tc>
          <w:tcPr>
            <w:tcW w:w="868" w:type="dxa"/>
          </w:tcPr>
          <w:p w14:paraId="12AC2864" w14:textId="6296C408" w:rsidR="00607D1C" w:rsidRPr="00EB0ED9" w:rsidRDefault="00CC0809" w:rsidP="00607D1C">
            <w:pPr>
              <w:pStyle w:val="Table8ptText-ASDEFCON"/>
              <w:jc w:val="center"/>
            </w:pPr>
            <w:r>
              <w:t>1</w:t>
            </w:r>
          </w:p>
        </w:tc>
        <w:tc>
          <w:tcPr>
            <w:tcW w:w="4110" w:type="dxa"/>
          </w:tcPr>
          <w:p w14:paraId="71965027" w14:textId="595B2AB6" w:rsidR="00607D1C" w:rsidRPr="00A55B77" w:rsidRDefault="00607D1C" w:rsidP="00607D1C">
            <w:pPr>
              <w:pStyle w:val="Table8ptText-ASDEFCON"/>
              <w:rPr>
                <w:noProof/>
              </w:rPr>
            </w:pPr>
            <w:r w:rsidRPr="00A55B77">
              <w:t>Operative Date</w:t>
            </w:r>
            <w:r>
              <w:t xml:space="preserve"> to </w:t>
            </w:r>
            <w:r>
              <w:rPr>
                <w:b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 INSERT MILESTONE ]"/>
                  </w:textInput>
                </w:ffData>
              </w:fldChar>
            </w:r>
            <w:r>
              <w:rPr>
                <w:b/>
                <w:noProof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 w:rsidR="00B706D6">
              <w:rPr>
                <w:b/>
                <w:noProof/>
              </w:rPr>
              <w:t>[ INSERT MILESTONE ]</w:t>
            </w:r>
            <w:r>
              <w:rPr>
                <w:b/>
                <w:noProof/>
              </w:rPr>
              <w:fldChar w:fldCharType="end"/>
            </w:r>
          </w:p>
        </w:tc>
        <w:tc>
          <w:tcPr>
            <w:tcW w:w="4656" w:type="dxa"/>
          </w:tcPr>
          <w:p w14:paraId="2E8DE17A" w14:textId="77777777" w:rsidR="00607D1C" w:rsidRPr="00E403C0" w:rsidRDefault="00607D1C" w:rsidP="00607D1C">
            <w:pPr>
              <w:pStyle w:val="Table8ptText-ASDEFCON"/>
              <w:rPr>
                <w:noProof/>
              </w:rPr>
            </w:pPr>
          </w:p>
        </w:tc>
      </w:tr>
      <w:tr w:rsidR="00607D1C" w:rsidRPr="00EB0ED9" w14:paraId="3ED4A4EE" w14:textId="77777777" w:rsidTr="006F4864">
        <w:tc>
          <w:tcPr>
            <w:tcW w:w="868" w:type="dxa"/>
          </w:tcPr>
          <w:p w14:paraId="4063F465" w14:textId="4CEB45EA" w:rsidR="00607D1C" w:rsidRPr="00EB0ED9" w:rsidRDefault="00CC0809" w:rsidP="00607D1C">
            <w:pPr>
              <w:pStyle w:val="Table8ptText-ASDEFCON"/>
              <w:jc w:val="center"/>
            </w:pPr>
            <w:r>
              <w:t>2</w:t>
            </w:r>
          </w:p>
        </w:tc>
        <w:tc>
          <w:tcPr>
            <w:tcW w:w="4110" w:type="dxa"/>
          </w:tcPr>
          <w:p w14:paraId="55A394B1" w14:textId="63567D2A" w:rsidR="00607D1C" w:rsidRPr="00A55B77" w:rsidRDefault="00607D1C" w:rsidP="00607D1C">
            <w:pPr>
              <w:pStyle w:val="Table8ptText-ASDEFCON"/>
              <w:rPr>
                <w:noProof/>
              </w:rPr>
            </w:pPr>
            <w:r>
              <w:rPr>
                <w:b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 INSERT MILESTONE ]"/>
                  </w:textInput>
                </w:ffData>
              </w:fldChar>
            </w:r>
            <w:r>
              <w:rPr>
                <w:b/>
                <w:noProof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 w:rsidR="00B706D6">
              <w:rPr>
                <w:b/>
                <w:noProof/>
              </w:rPr>
              <w:t>[ INSERT MILESTONE ]</w:t>
            </w:r>
            <w:r>
              <w:rPr>
                <w:b/>
                <w:noProof/>
              </w:rPr>
              <w:fldChar w:fldCharType="end"/>
            </w:r>
            <w:r w:rsidRPr="00761016">
              <w:rPr>
                <w:noProof/>
              </w:rPr>
              <w:t xml:space="preserve"> to</w:t>
            </w:r>
            <w:r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 INSERT MILESTONE ]"/>
                  </w:textInput>
                </w:ffData>
              </w:fldChar>
            </w:r>
            <w:r>
              <w:rPr>
                <w:b/>
                <w:noProof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 w:rsidR="00B706D6">
              <w:rPr>
                <w:b/>
                <w:noProof/>
              </w:rPr>
              <w:t>[ INSERT MILESTONE ]</w:t>
            </w:r>
            <w:r>
              <w:rPr>
                <w:b/>
                <w:noProof/>
              </w:rPr>
              <w:fldChar w:fldCharType="end"/>
            </w:r>
          </w:p>
        </w:tc>
        <w:tc>
          <w:tcPr>
            <w:tcW w:w="4656" w:type="dxa"/>
          </w:tcPr>
          <w:p w14:paraId="7F8C2782" w14:textId="77777777" w:rsidR="00607D1C" w:rsidRPr="00E403C0" w:rsidRDefault="00607D1C" w:rsidP="00607D1C">
            <w:pPr>
              <w:pStyle w:val="Table8ptText-ASDEFCON"/>
              <w:rPr>
                <w:noProof/>
              </w:rPr>
            </w:pPr>
          </w:p>
        </w:tc>
      </w:tr>
      <w:tr w:rsidR="006E62B9" w:rsidRPr="00EB0ED9" w14:paraId="1FD3BDFA" w14:textId="77777777" w:rsidTr="006F4864">
        <w:tc>
          <w:tcPr>
            <w:tcW w:w="868" w:type="dxa"/>
          </w:tcPr>
          <w:p w14:paraId="0379D080" w14:textId="78E60822" w:rsidR="006E62B9" w:rsidRPr="00EB0ED9" w:rsidRDefault="00CC0809" w:rsidP="006E62B9">
            <w:pPr>
              <w:pStyle w:val="Table8ptText-ASDEFCON"/>
              <w:jc w:val="center"/>
            </w:pPr>
            <w:r>
              <w:t>3</w:t>
            </w:r>
          </w:p>
        </w:tc>
        <w:tc>
          <w:tcPr>
            <w:tcW w:w="4110" w:type="dxa"/>
          </w:tcPr>
          <w:p w14:paraId="734074E5" w14:textId="7076C7A7" w:rsidR="006E62B9" w:rsidRDefault="006E62B9" w:rsidP="006E62B9">
            <w:pPr>
              <w:pStyle w:val="Table8ptText-ASDEFCON"/>
              <w:rPr>
                <w:b/>
                <w:noProof/>
              </w:rPr>
            </w:pPr>
            <w:r>
              <w:rPr>
                <w:b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 INSERT MILESTONE ]"/>
                  </w:textInput>
                </w:ffData>
              </w:fldChar>
            </w:r>
            <w:r>
              <w:rPr>
                <w:b/>
                <w:noProof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 w:rsidR="00B706D6">
              <w:rPr>
                <w:b/>
                <w:noProof/>
              </w:rPr>
              <w:t>[ INSERT MILESTONE ]</w:t>
            </w:r>
            <w:r>
              <w:rPr>
                <w:b/>
                <w:noProof/>
              </w:rPr>
              <w:fldChar w:fldCharType="end"/>
            </w:r>
            <w:r w:rsidRPr="00761016">
              <w:rPr>
                <w:noProof/>
              </w:rPr>
              <w:t xml:space="preserve"> to</w:t>
            </w:r>
            <w:r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 INSERT MILESTONE ]"/>
                  </w:textInput>
                </w:ffData>
              </w:fldChar>
            </w:r>
            <w:r>
              <w:rPr>
                <w:b/>
                <w:noProof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 w:rsidR="00B706D6">
              <w:rPr>
                <w:b/>
                <w:noProof/>
              </w:rPr>
              <w:t>[ INSERT MILESTONE ]</w:t>
            </w:r>
            <w:r>
              <w:rPr>
                <w:b/>
                <w:noProof/>
              </w:rPr>
              <w:fldChar w:fldCharType="end"/>
            </w:r>
          </w:p>
        </w:tc>
        <w:tc>
          <w:tcPr>
            <w:tcW w:w="4656" w:type="dxa"/>
          </w:tcPr>
          <w:p w14:paraId="0AD17074" w14:textId="77777777" w:rsidR="006E62B9" w:rsidRPr="00E403C0" w:rsidRDefault="006E62B9" w:rsidP="006E62B9">
            <w:pPr>
              <w:pStyle w:val="Table8ptText-ASDEFCON"/>
              <w:rPr>
                <w:noProof/>
              </w:rPr>
            </w:pPr>
          </w:p>
        </w:tc>
      </w:tr>
      <w:tr w:rsidR="006E62B9" w:rsidRPr="00EB0ED9" w14:paraId="4E67AD11" w14:textId="77777777" w:rsidTr="006F4864">
        <w:tc>
          <w:tcPr>
            <w:tcW w:w="868" w:type="dxa"/>
          </w:tcPr>
          <w:p w14:paraId="7EC81E4A" w14:textId="77777777" w:rsidR="006E62B9" w:rsidRPr="004B2953" w:rsidRDefault="006E62B9" w:rsidP="006E62B9">
            <w:pPr>
              <w:pStyle w:val="Table8ptText-ASDEFCON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5E3F094C" w14:textId="1288BB5A" w:rsidR="006E62B9" w:rsidRPr="00A55B77" w:rsidRDefault="006E62B9" w:rsidP="006E62B9">
            <w:pPr>
              <w:pStyle w:val="Table8ptText-ASDEFCON"/>
              <w:rPr>
                <w:noProof/>
              </w:rPr>
            </w:pPr>
            <w:r>
              <w:rPr>
                <w:b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 INSERT YEAR BETWEEN ADJUSTMENT DATES ]"/>
                  </w:textInput>
                </w:ffData>
              </w:fldChar>
            </w:r>
            <w:r>
              <w:rPr>
                <w:b/>
                <w:noProof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 w:rsidR="00B706D6">
              <w:rPr>
                <w:b/>
                <w:noProof/>
              </w:rPr>
              <w:t>[ INSERT YEAR BETWEEN ADJUSTMENT DATES ]</w:t>
            </w:r>
            <w:r>
              <w:rPr>
                <w:b/>
                <w:noProof/>
              </w:rPr>
              <w:fldChar w:fldCharType="end"/>
            </w:r>
          </w:p>
        </w:tc>
        <w:tc>
          <w:tcPr>
            <w:tcW w:w="4656" w:type="dxa"/>
          </w:tcPr>
          <w:p w14:paraId="335491BC" w14:textId="77777777" w:rsidR="006E62B9" w:rsidRPr="00233B10" w:rsidRDefault="006E62B9" w:rsidP="006E62B9">
            <w:pPr>
              <w:pStyle w:val="Table8ptText-ASDEFCON"/>
              <w:rPr>
                <w:noProof/>
              </w:rPr>
            </w:pPr>
          </w:p>
        </w:tc>
      </w:tr>
      <w:tr w:rsidR="006E62B9" w:rsidRPr="00EB0ED9" w14:paraId="1A14D792" w14:textId="77777777" w:rsidTr="006F4864">
        <w:tc>
          <w:tcPr>
            <w:tcW w:w="868" w:type="dxa"/>
          </w:tcPr>
          <w:p w14:paraId="1E70ECC3" w14:textId="77777777" w:rsidR="006E62B9" w:rsidRPr="004B2953" w:rsidRDefault="006E62B9" w:rsidP="006E62B9">
            <w:pPr>
              <w:pStyle w:val="Table8ptText-ASDEFCON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6D37AC5C" w14:textId="59DBDB45" w:rsidR="006E62B9" w:rsidRDefault="006F7EA8" w:rsidP="006E62B9">
            <w:pPr>
              <w:pStyle w:val="Table8ptText-ASDEFCON"/>
              <w:rPr>
                <w:b/>
                <w:noProof/>
              </w:rPr>
            </w:pPr>
            <w:r>
              <w:rPr>
                <w:b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 INSERT YEAR BETWEEN ADJUSTMENT DATES ]"/>
                  </w:textInput>
                </w:ffData>
              </w:fldChar>
            </w:r>
            <w:r>
              <w:rPr>
                <w:b/>
                <w:noProof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 w:rsidR="00B706D6">
              <w:rPr>
                <w:b/>
                <w:noProof/>
              </w:rPr>
              <w:t>[ INSERT YEAR BETWEEN ADJUSTMENT DATES ]</w:t>
            </w:r>
            <w:r>
              <w:rPr>
                <w:b/>
                <w:noProof/>
              </w:rPr>
              <w:fldChar w:fldCharType="end"/>
            </w:r>
          </w:p>
        </w:tc>
        <w:tc>
          <w:tcPr>
            <w:tcW w:w="4656" w:type="dxa"/>
          </w:tcPr>
          <w:p w14:paraId="0BDC361E" w14:textId="77777777" w:rsidR="006E62B9" w:rsidRPr="00233B10" w:rsidRDefault="006E62B9" w:rsidP="006E62B9">
            <w:pPr>
              <w:pStyle w:val="Table8ptText-ASDEFCON"/>
              <w:rPr>
                <w:noProof/>
              </w:rPr>
            </w:pPr>
          </w:p>
        </w:tc>
      </w:tr>
      <w:tr w:rsidR="006E62B9" w:rsidRPr="00EB0ED9" w14:paraId="66A30C45" w14:textId="77777777" w:rsidTr="006F4864">
        <w:tc>
          <w:tcPr>
            <w:tcW w:w="868" w:type="dxa"/>
          </w:tcPr>
          <w:p w14:paraId="22ACB3B7" w14:textId="77777777" w:rsidR="006E62B9" w:rsidRPr="004B2953" w:rsidRDefault="006E62B9" w:rsidP="006E62B9">
            <w:pPr>
              <w:pStyle w:val="Table8ptText-ASDEFCON"/>
              <w:jc w:val="center"/>
              <w:rPr>
                <w:b/>
              </w:rPr>
            </w:pPr>
          </w:p>
        </w:tc>
        <w:tc>
          <w:tcPr>
            <w:tcW w:w="4110" w:type="dxa"/>
          </w:tcPr>
          <w:p w14:paraId="56774933" w14:textId="77777777" w:rsidR="006E62B9" w:rsidRDefault="006E62B9" w:rsidP="006E62B9">
            <w:pPr>
              <w:pStyle w:val="Table8ptText-ASDEFCON"/>
              <w:rPr>
                <w:b/>
                <w:noProof/>
              </w:rPr>
            </w:pPr>
          </w:p>
        </w:tc>
        <w:tc>
          <w:tcPr>
            <w:tcW w:w="4656" w:type="dxa"/>
          </w:tcPr>
          <w:p w14:paraId="393FFB93" w14:textId="77777777" w:rsidR="006E62B9" w:rsidRPr="00233B10" w:rsidRDefault="006E62B9" w:rsidP="006E62B9">
            <w:pPr>
              <w:pStyle w:val="Table8ptText-ASDEFCON"/>
              <w:rPr>
                <w:noProof/>
              </w:rPr>
            </w:pPr>
          </w:p>
        </w:tc>
      </w:tr>
    </w:tbl>
    <w:p w14:paraId="7A6741DC" w14:textId="77777777" w:rsidR="00607D1C" w:rsidRDefault="00607D1C" w:rsidP="00607D1C">
      <w:pPr>
        <w:pStyle w:val="ASDEFCONOptionSpace"/>
      </w:pPr>
    </w:p>
    <w:p w14:paraId="66568935" w14:textId="5E9B0960" w:rsidR="00607D1C" w:rsidRPr="000E7A37" w:rsidRDefault="006F7EA8" w:rsidP="00607D1C">
      <w:pPr>
        <w:pStyle w:val="Note-ASDEFCON"/>
        <w:rPr>
          <w:sz w:val="16"/>
          <w:szCs w:val="16"/>
        </w:rPr>
      </w:pPr>
      <w:r>
        <w:rPr>
          <w:sz w:val="16"/>
          <w:szCs w:val="16"/>
        </w:rPr>
        <w:t>Notes on</w:t>
      </w:r>
      <w:r w:rsidR="00607D1C" w:rsidRPr="000E7A37">
        <w:rPr>
          <w:sz w:val="16"/>
          <w:szCs w:val="16"/>
        </w:rPr>
        <w:t xml:space="preserve"> Table </w:t>
      </w:r>
      <w:r>
        <w:rPr>
          <w:sz w:val="16"/>
          <w:szCs w:val="16"/>
        </w:rPr>
        <w:t>B-</w:t>
      </w:r>
      <w:r w:rsidR="00607D1C" w:rsidRPr="000E7A37">
        <w:rPr>
          <w:sz w:val="16"/>
          <w:szCs w:val="16"/>
        </w:rPr>
        <w:t>B-1</w:t>
      </w:r>
      <w:r>
        <w:rPr>
          <w:sz w:val="16"/>
          <w:szCs w:val="16"/>
        </w:rPr>
        <w:t>:</w:t>
      </w:r>
    </w:p>
    <w:p w14:paraId="20DAB2DD" w14:textId="77777777" w:rsidR="00607D1C" w:rsidRPr="005110F2" w:rsidRDefault="00607D1C" w:rsidP="00607D1C">
      <w:pPr>
        <w:pStyle w:val="NoteList-ASDEFCON"/>
        <w:rPr>
          <w:iCs/>
          <w:sz w:val="16"/>
        </w:rPr>
      </w:pPr>
      <w:r w:rsidRPr="005110F2">
        <w:rPr>
          <w:iCs/>
          <w:sz w:val="16"/>
        </w:rPr>
        <w:t>No.:  A serial nu</w:t>
      </w:r>
      <w:bookmarkStart w:id="2" w:name="_GoBack"/>
      <w:bookmarkEnd w:id="2"/>
      <w:r w:rsidRPr="005110F2">
        <w:rPr>
          <w:iCs/>
          <w:sz w:val="16"/>
        </w:rPr>
        <w:t xml:space="preserve">mber assigned to each </w:t>
      </w:r>
      <w:r>
        <w:rPr>
          <w:iCs/>
          <w:sz w:val="16"/>
        </w:rPr>
        <w:t xml:space="preserve">pricing period for the Core Services, including </w:t>
      </w:r>
      <w:r w:rsidRPr="005110F2">
        <w:rPr>
          <w:iCs/>
          <w:sz w:val="16"/>
        </w:rPr>
        <w:t xml:space="preserve">Ramp Up </w:t>
      </w:r>
      <w:r>
        <w:rPr>
          <w:iCs/>
          <w:sz w:val="16"/>
        </w:rPr>
        <w:t>stages</w:t>
      </w:r>
      <w:r w:rsidRPr="005110F2">
        <w:rPr>
          <w:iCs/>
          <w:sz w:val="16"/>
        </w:rPr>
        <w:t>.</w:t>
      </w:r>
    </w:p>
    <w:p w14:paraId="010C7E63" w14:textId="700AA733" w:rsidR="00607D1C" w:rsidRPr="005110F2" w:rsidRDefault="00607D1C" w:rsidP="00607D1C">
      <w:pPr>
        <w:pStyle w:val="NoteList-ASDEFCON"/>
        <w:rPr>
          <w:iCs/>
          <w:sz w:val="16"/>
        </w:rPr>
      </w:pPr>
      <w:r>
        <w:rPr>
          <w:iCs/>
          <w:sz w:val="16"/>
        </w:rPr>
        <w:t>Pricing Period</w:t>
      </w:r>
      <w:r w:rsidRPr="005110F2">
        <w:rPr>
          <w:iCs/>
          <w:sz w:val="16"/>
        </w:rPr>
        <w:t xml:space="preserve">: </w:t>
      </w:r>
      <w:r>
        <w:rPr>
          <w:iCs/>
          <w:sz w:val="16"/>
        </w:rPr>
        <w:t xml:space="preserve"> The pricing period, between applicable Milestones</w:t>
      </w:r>
      <w:r w:rsidRPr="005110F2">
        <w:rPr>
          <w:iCs/>
          <w:sz w:val="16"/>
        </w:rPr>
        <w:t xml:space="preserve"> </w:t>
      </w:r>
      <w:r w:rsidR="00CC0809">
        <w:rPr>
          <w:iCs/>
          <w:sz w:val="16"/>
        </w:rPr>
        <w:t>in</w:t>
      </w:r>
      <w:r>
        <w:rPr>
          <w:iCs/>
          <w:sz w:val="16"/>
        </w:rPr>
        <w:t xml:space="preserve"> Attachment C or the applicable year (</w:t>
      </w:r>
      <w:proofErr w:type="spellStart"/>
      <w:r>
        <w:rPr>
          <w:iCs/>
          <w:sz w:val="16"/>
        </w:rPr>
        <w:t>ie</w:t>
      </w:r>
      <w:proofErr w:type="spellEnd"/>
      <w:r>
        <w:rPr>
          <w:iCs/>
          <w:sz w:val="16"/>
        </w:rPr>
        <w:t xml:space="preserve">, </w:t>
      </w:r>
      <w:r w:rsidR="000D2643">
        <w:rPr>
          <w:iCs/>
          <w:sz w:val="16"/>
        </w:rPr>
        <w:t>each</w:t>
      </w:r>
      <w:r>
        <w:rPr>
          <w:iCs/>
          <w:sz w:val="16"/>
        </w:rPr>
        <w:t xml:space="preserve"> year following a price adjustment in accordance with clause </w:t>
      </w:r>
      <w:r w:rsidR="00CC0809">
        <w:rPr>
          <w:iCs/>
          <w:sz w:val="16"/>
        </w:rPr>
        <w:t>8</w:t>
      </w:r>
      <w:r w:rsidR="000D2643">
        <w:rPr>
          <w:iCs/>
          <w:sz w:val="16"/>
        </w:rPr>
        <w:t xml:space="preserve"> of Attachment B</w:t>
      </w:r>
      <w:r>
        <w:rPr>
          <w:iCs/>
          <w:sz w:val="16"/>
        </w:rPr>
        <w:t>)</w:t>
      </w:r>
      <w:r w:rsidRPr="005110F2">
        <w:rPr>
          <w:iCs/>
          <w:sz w:val="16"/>
        </w:rPr>
        <w:t>.</w:t>
      </w:r>
    </w:p>
    <w:p w14:paraId="575954FC" w14:textId="0F1F0A74" w:rsidR="00607D1C" w:rsidRPr="004B2953" w:rsidRDefault="00CB1CCF" w:rsidP="00607D1C">
      <w:pPr>
        <w:pStyle w:val="NoteList-ASDEFCON"/>
        <w:jc w:val="left"/>
        <w:rPr>
          <w:iCs/>
          <w:sz w:val="16"/>
        </w:rPr>
      </w:pPr>
      <w:r>
        <w:rPr>
          <w:iCs/>
          <w:sz w:val="16"/>
        </w:rPr>
        <w:t>Schedule</w:t>
      </w:r>
      <w:r w:rsidR="00607D1C" w:rsidRPr="005110F2">
        <w:rPr>
          <w:iCs/>
          <w:sz w:val="16"/>
        </w:rPr>
        <w:t xml:space="preserve"> Reference:  Reference to </w:t>
      </w:r>
      <w:r w:rsidR="00607D1C">
        <w:rPr>
          <w:iCs/>
          <w:sz w:val="16"/>
        </w:rPr>
        <w:t xml:space="preserve">the </w:t>
      </w:r>
      <w:r>
        <w:rPr>
          <w:iCs/>
          <w:sz w:val="16"/>
        </w:rPr>
        <w:t>file (</w:t>
      </w:r>
      <w:proofErr w:type="spellStart"/>
      <w:r>
        <w:rPr>
          <w:iCs/>
          <w:sz w:val="16"/>
        </w:rPr>
        <w:t>eg</w:t>
      </w:r>
      <w:proofErr w:type="spellEnd"/>
      <w:r>
        <w:rPr>
          <w:iCs/>
          <w:sz w:val="16"/>
        </w:rPr>
        <w:t xml:space="preserve">, PDF of Excel worksheet) </w:t>
      </w:r>
      <w:r w:rsidR="00732AD0">
        <w:rPr>
          <w:iCs/>
          <w:sz w:val="16"/>
        </w:rPr>
        <w:t>that forms</w:t>
      </w:r>
      <w:r>
        <w:rPr>
          <w:iCs/>
          <w:sz w:val="16"/>
        </w:rPr>
        <w:t xml:space="preserve"> the </w:t>
      </w:r>
      <w:r w:rsidR="00607D1C">
        <w:rPr>
          <w:iCs/>
          <w:sz w:val="16"/>
        </w:rPr>
        <w:t>schedule to Annex B containing the pricing information for</w:t>
      </w:r>
      <w:r w:rsidR="00607D1C" w:rsidRPr="005110F2">
        <w:rPr>
          <w:iCs/>
          <w:sz w:val="16"/>
        </w:rPr>
        <w:t xml:space="preserve"> Core Services Fees</w:t>
      </w:r>
      <w:r w:rsidR="00732AD0">
        <w:rPr>
          <w:iCs/>
          <w:sz w:val="16"/>
        </w:rPr>
        <w:t>,</w:t>
      </w:r>
      <w:r w:rsidR="00607D1C" w:rsidRPr="005110F2">
        <w:rPr>
          <w:iCs/>
          <w:sz w:val="16"/>
        </w:rPr>
        <w:t xml:space="preserve"> </w:t>
      </w:r>
      <w:r w:rsidR="00607D1C">
        <w:rPr>
          <w:iCs/>
          <w:sz w:val="16"/>
        </w:rPr>
        <w:t>for the applicable</w:t>
      </w:r>
      <w:r w:rsidR="00607D1C" w:rsidRPr="005110F2">
        <w:rPr>
          <w:iCs/>
          <w:sz w:val="16"/>
        </w:rPr>
        <w:t xml:space="preserve"> </w:t>
      </w:r>
      <w:r>
        <w:rPr>
          <w:iCs/>
          <w:sz w:val="16"/>
        </w:rPr>
        <w:t xml:space="preserve">pricing </w:t>
      </w:r>
      <w:r w:rsidR="00607D1C">
        <w:rPr>
          <w:iCs/>
          <w:sz w:val="16"/>
        </w:rPr>
        <w:t>period.</w:t>
      </w:r>
    </w:p>
    <w:bookmarkEnd w:id="0"/>
    <w:p w14:paraId="354400F8" w14:textId="77777777" w:rsidR="00607D1C" w:rsidRDefault="00607D1C" w:rsidP="00607D1C">
      <w:pPr>
        <w:pStyle w:val="ATTANNLV1-ASDEFCON"/>
      </w:pPr>
      <w:r>
        <w:t>Excluded Services</w:t>
      </w:r>
    </w:p>
    <w:p w14:paraId="1E703D05" w14:textId="59A39F20" w:rsidR="00574A09" w:rsidRDefault="00607D1C" w:rsidP="00607D1C">
      <w:pPr>
        <w:pStyle w:val="NoteToDrafters-ASDEFCON"/>
      </w:pPr>
      <w:r w:rsidRPr="00033FC0">
        <w:t xml:space="preserve">Note to drafters:  </w:t>
      </w:r>
      <w:r w:rsidR="00B87B02">
        <w:t xml:space="preserve">Excluded Services Fees (for pass-through costs) are optional as they do not apply to all contracts.  If not required, the following note, clause and table may be deleted and the heading annotated as </w:t>
      </w:r>
      <w:r w:rsidR="007D6BB8">
        <w:t>‘</w:t>
      </w:r>
      <w:r w:rsidR="00B87B02">
        <w:t>Not used</w:t>
      </w:r>
      <w:r w:rsidR="007D6BB8">
        <w:t>’</w:t>
      </w:r>
      <w:r w:rsidR="00164E94">
        <w:t>.</w:t>
      </w:r>
    </w:p>
    <w:p w14:paraId="70682B87" w14:textId="4EC3293A" w:rsidR="00607D1C" w:rsidRDefault="00B87B02" w:rsidP="00607D1C">
      <w:pPr>
        <w:pStyle w:val="NoteToDrafters-ASDEFCON"/>
      </w:pPr>
      <w:r>
        <w:t>If Excluded Services Fees are applicable, drafters should u</w:t>
      </w:r>
      <w:r w:rsidR="00607D1C">
        <w:t>pdate</w:t>
      </w:r>
      <w:r w:rsidR="00607D1C" w:rsidRPr="00033FC0">
        <w:t xml:space="preserve"> </w:t>
      </w:r>
      <w:r w:rsidR="00607D1C" w:rsidRPr="00943CE0">
        <w:fldChar w:fldCharType="begin"/>
      </w:r>
      <w:r w:rsidR="00607D1C" w:rsidRPr="00943CE0">
        <w:instrText xml:space="preserve"> REF _Ref79765854 \h </w:instrText>
      </w:r>
      <w:r w:rsidR="00607D1C" w:rsidRPr="000E7A37">
        <w:instrText xml:space="preserve"> \* MERGEFORMAT </w:instrText>
      </w:r>
      <w:r w:rsidR="00607D1C" w:rsidRPr="00943CE0">
        <w:fldChar w:fldCharType="separate"/>
      </w:r>
      <w:r w:rsidR="00B706D6" w:rsidRPr="00115A82">
        <w:t xml:space="preserve">Table </w:t>
      </w:r>
      <w:r w:rsidR="00B706D6">
        <w:t>B-</w:t>
      </w:r>
      <w:r w:rsidR="00B706D6" w:rsidRPr="00115A82">
        <w:t>B-</w:t>
      </w:r>
      <w:r w:rsidR="00B706D6" w:rsidRPr="00B706D6">
        <w:t>2</w:t>
      </w:r>
      <w:r w:rsidR="00607D1C" w:rsidRPr="00943CE0">
        <w:fldChar w:fldCharType="end"/>
      </w:r>
      <w:r w:rsidR="00607D1C">
        <w:t xml:space="preserve"> to include </w:t>
      </w:r>
      <w:r>
        <w:t xml:space="preserve">expected </w:t>
      </w:r>
      <w:r w:rsidR="00607D1C">
        <w:t>pricing periods</w:t>
      </w:r>
      <w:r w:rsidR="00574A09">
        <w:t xml:space="preserve">, </w:t>
      </w:r>
      <w:r w:rsidR="007D6BB8">
        <w:t>and</w:t>
      </w:r>
      <w:r w:rsidR="00574A09">
        <w:t xml:space="preserve"> </w:t>
      </w:r>
      <w:r w:rsidR="007D6BB8">
        <w:t>refer to</w:t>
      </w:r>
      <w:r w:rsidR="00574A09">
        <w:t xml:space="preserve"> events that trigger Excluded Services Fees such as commencing occupation of GFF.  </w:t>
      </w:r>
      <w:r w:rsidR="007D6BB8">
        <w:t xml:space="preserve">When such events are identified, these should also be included as </w:t>
      </w:r>
      <w:r w:rsidR="00574A09">
        <w:t>Milestones</w:t>
      </w:r>
      <w:r w:rsidR="007D6BB8">
        <w:t xml:space="preserve"> in </w:t>
      </w:r>
      <w:r w:rsidR="007D6BB8">
        <w:lastRenderedPageBreak/>
        <w:t>draft Attachment C</w:t>
      </w:r>
      <w:r w:rsidR="00607D1C" w:rsidRPr="00033FC0">
        <w:t>.</w:t>
      </w:r>
      <w:r w:rsidR="00607D1C">
        <w:t xml:space="preserve"> </w:t>
      </w:r>
      <w:r>
        <w:t xml:space="preserve"> </w:t>
      </w:r>
      <w:r w:rsidR="00607D1C">
        <w:t xml:space="preserve">Otherwise clause </w:t>
      </w:r>
      <w:r w:rsidR="00607D1C">
        <w:fldChar w:fldCharType="begin"/>
      </w:r>
      <w:r w:rsidR="00607D1C">
        <w:instrText xml:space="preserve"> REF _Ref424734981 \r \h </w:instrText>
      </w:r>
      <w:r w:rsidR="00607D1C">
        <w:fldChar w:fldCharType="separate"/>
      </w:r>
      <w:r w:rsidR="00B706D6">
        <w:t>3.1</w:t>
      </w:r>
      <w:r w:rsidR="00607D1C">
        <w:fldChar w:fldCharType="end"/>
      </w:r>
      <w:r w:rsidR="00607D1C" w:rsidRPr="00033FC0">
        <w:t xml:space="preserve"> </w:t>
      </w:r>
      <w:r w:rsidR="00607D1C" w:rsidRPr="002D5ADE">
        <w:t xml:space="preserve">and </w:t>
      </w:r>
      <w:r w:rsidR="00607D1C">
        <w:fldChar w:fldCharType="begin"/>
      </w:r>
      <w:r w:rsidR="00607D1C">
        <w:instrText xml:space="preserve"> REF _Ref79765854 \h  \* MERGEFORMAT </w:instrText>
      </w:r>
      <w:r w:rsidR="00607D1C">
        <w:fldChar w:fldCharType="separate"/>
      </w:r>
      <w:r w:rsidR="00B706D6" w:rsidRPr="00115A82">
        <w:t xml:space="preserve">Table </w:t>
      </w:r>
      <w:r w:rsidR="00B706D6">
        <w:t>B-</w:t>
      </w:r>
      <w:r w:rsidR="00B706D6" w:rsidRPr="00115A82">
        <w:t>B-</w:t>
      </w:r>
      <w:r w:rsidR="00B706D6" w:rsidRPr="00B706D6">
        <w:t>2</w:t>
      </w:r>
      <w:r w:rsidR="00607D1C">
        <w:fldChar w:fldCharType="end"/>
      </w:r>
      <w:r w:rsidR="00607D1C" w:rsidRPr="002D5ADE">
        <w:t xml:space="preserve"> </w:t>
      </w:r>
      <w:r w:rsidR="00574A09">
        <w:t>should</w:t>
      </w:r>
      <w:r w:rsidR="00607D1C">
        <w:t xml:space="preserve"> be </w:t>
      </w:r>
      <w:r w:rsidR="007D6BB8">
        <w:t>retained</w:t>
      </w:r>
      <w:r w:rsidR="00607D1C">
        <w:t xml:space="preserve"> in the draft Contract </w:t>
      </w:r>
      <w:r w:rsidR="00574A09">
        <w:t xml:space="preserve">and updated </w:t>
      </w:r>
      <w:r w:rsidR="00607D1C">
        <w:t>subject to the successful tenderer’s response.  Refer also to TDR D-3.</w:t>
      </w:r>
    </w:p>
    <w:p w14:paraId="1FECDD3E" w14:textId="752E2620" w:rsidR="00607D1C" w:rsidRPr="00033FC0" w:rsidRDefault="00607D1C" w:rsidP="000D2643">
      <w:pPr>
        <w:pStyle w:val="NoteToTenderers-ASDEFCON"/>
      </w:pPr>
      <w:r>
        <w:t xml:space="preserve">Note to tenderers: Clause </w:t>
      </w:r>
      <w:r>
        <w:fldChar w:fldCharType="begin"/>
      </w:r>
      <w:r>
        <w:instrText xml:space="preserve"> REF _Ref424734981 \r \h </w:instrText>
      </w:r>
      <w:r>
        <w:fldChar w:fldCharType="separate"/>
      </w:r>
      <w:r w:rsidR="00B706D6">
        <w:t>3.1</w:t>
      </w:r>
      <w:r>
        <w:fldChar w:fldCharType="end"/>
      </w:r>
      <w:r w:rsidRPr="00033FC0">
        <w:t xml:space="preserve"> </w:t>
      </w:r>
      <w:r w:rsidRPr="002D5ADE">
        <w:t xml:space="preserve">and </w:t>
      </w:r>
      <w:r>
        <w:fldChar w:fldCharType="begin"/>
      </w:r>
      <w:r>
        <w:instrText xml:space="preserve"> REF _Ref79765854 \h  \* MERGEFORMAT </w:instrText>
      </w:r>
      <w:r>
        <w:fldChar w:fldCharType="separate"/>
      </w:r>
      <w:r w:rsidR="00B706D6" w:rsidRPr="00115A82">
        <w:t xml:space="preserve">Table </w:t>
      </w:r>
      <w:r w:rsidR="00B706D6">
        <w:t>B-</w:t>
      </w:r>
      <w:r w:rsidR="00B706D6" w:rsidRPr="00115A82">
        <w:t>B-</w:t>
      </w:r>
      <w:r w:rsidR="00B706D6" w:rsidRPr="00B706D6">
        <w:t>2</w:t>
      </w:r>
      <w:r>
        <w:fldChar w:fldCharType="end"/>
      </w:r>
      <w:r>
        <w:t xml:space="preserve"> will be </w:t>
      </w:r>
      <w:r w:rsidR="00574A09">
        <w:t>updated for</w:t>
      </w:r>
      <w:r>
        <w:t xml:space="preserve"> any resultant Contract, subject to the successful tenderer’s response to TDR D-3 and any negotiated changes.</w:t>
      </w:r>
    </w:p>
    <w:bookmarkStart w:id="3" w:name="_Ref424734981"/>
    <w:bookmarkStart w:id="4" w:name="_Ref420071656"/>
    <w:p w14:paraId="5AEF0EF9" w14:textId="2EA1097D" w:rsidR="006F7EA8" w:rsidRDefault="00234382" w:rsidP="00B87B02">
      <w:pPr>
        <w:pStyle w:val="ATTANNLV2-ASDEFCON"/>
      </w:pPr>
      <w:r w:rsidRPr="00943CE0">
        <w:fldChar w:fldCharType="begin"/>
      </w:r>
      <w:r w:rsidRPr="00943CE0">
        <w:instrText xml:space="preserve"> REF _Ref79765854 \h </w:instrText>
      </w:r>
      <w:r w:rsidRPr="000E7A37">
        <w:instrText xml:space="preserve"> \* MERGEFORMAT </w:instrText>
      </w:r>
      <w:r w:rsidRPr="00943CE0">
        <w:fldChar w:fldCharType="separate"/>
      </w:r>
      <w:r w:rsidR="00B706D6" w:rsidRPr="00B706D6">
        <w:t>Table B-B-2</w:t>
      </w:r>
      <w:r w:rsidRPr="00943CE0">
        <w:fldChar w:fldCharType="end"/>
      </w:r>
      <w:r>
        <w:t xml:space="preserve"> </w:t>
      </w:r>
      <w:r w:rsidR="000D2643">
        <w:t xml:space="preserve">identifies the </w:t>
      </w:r>
      <w:r w:rsidR="009F297D">
        <w:t>pricing period for</w:t>
      </w:r>
      <w:r w:rsidR="006F7EA8" w:rsidRPr="00033FC0">
        <w:t xml:space="preserve"> Excluded Services Fee</w:t>
      </w:r>
      <w:r w:rsidR="009F297D">
        <w:t>s</w:t>
      </w:r>
      <w:r w:rsidR="006F7EA8" w:rsidRPr="00033FC0">
        <w:t xml:space="preserve"> </w:t>
      </w:r>
      <w:r w:rsidR="000D2643">
        <w:t>for each applicable pricing period</w:t>
      </w:r>
      <w:r w:rsidR="006F7EA8">
        <w:t>.</w:t>
      </w:r>
      <w:bookmarkEnd w:id="3"/>
    </w:p>
    <w:p w14:paraId="201E556E" w14:textId="0FD05C67" w:rsidR="006F7EA8" w:rsidRDefault="006F7EA8" w:rsidP="000E7A37">
      <w:pPr>
        <w:pStyle w:val="NoteToDrafters-ASDEFCON"/>
      </w:pPr>
      <w:r w:rsidRPr="00EB0ED9">
        <w:t xml:space="preserve">Note to drafters: </w:t>
      </w:r>
      <w:r w:rsidR="009F297D">
        <w:t xml:space="preserve"> Example entries for the following table are to be included in TDR D-3, with </w:t>
      </w:r>
      <w:r w:rsidR="00234382">
        <w:t>reference</w:t>
      </w:r>
      <w:r w:rsidR="009F297D">
        <w:t xml:space="preserve"> to each </w:t>
      </w:r>
      <w:r w:rsidR="00234382">
        <w:t xml:space="preserve">pricing </w:t>
      </w:r>
      <w:r w:rsidR="009F297D">
        <w:t>period included</w:t>
      </w:r>
      <w:r w:rsidR="00234382">
        <w:t xml:space="preserve"> from Excluded Services</w:t>
      </w:r>
      <w:r w:rsidR="009F297D">
        <w:t xml:space="preserve"> in the SPTPW.  </w:t>
      </w:r>
      <w:r w:rsidR="00234382">
        <w:t xml:space="preserve">The draft table (below) assumes that all </w:t>
      </w:r>
      <w:r w:rsidR="00CC0809">
        <w:t xml:space="preserve">pricing periods for </w:t>
      </w:r>
      <w:r w:rsidR="00234382">
        <w:t xml:space="preserve">Excluded Services </w:t>
      </w:r>
      <w:r w:rsidR="00CC0809">
        <w:t>will be included on one worksheet of the SPTPW, and saved in a single PDF file.</w:t>
      </w:r>
      <w:r w:rsidR="00732AD0">
        <w:t xml:space="preserve">  If there will be multiple files, un-merge the cells in column (c) and update accordingly.</w:t>
      </w:r>
      <w:r w:rsidR="00CC0809">
        <w:t xml:space="preserve">  </w:t>
      </w:r>
      <w:r w:rsidR="009F297D">
        <w:t>Refer to TDR D-3 for further information.</w:t>
      </w:r>
    </w:p>
    <w:p w14:paraId="5151C9B6" w14:textId="0CF66B71" w:rsidR="006F7EA8" w:rsidRPr="00115A82" w:rsidRDefault="006F7EA8" w:rsidP="000E7A37">
      <w:pPr>
        <w:pStyle w:val="ASDEFCONNormal"/>
        <w:jc w:val="center"/>
        <w:rPr>
          <w:b/>
        </w:rPr>
      </w:pPr>
      <w:bookmarkStart w:id="5" w:name="_Ref79765854"/>
      <w:r w:rsidRPr="00115A82">
        <w:rPr>
          <w:b/>
        </w:rPr>
        <w:t xml:space="preserve">Table </w:t>
      </w:r>
      <w:r w:rsidR="000D2643">
        <w:rPr>
          <w:b/>
        </w:rPr>
        <w:t>B-</w:t>
      </w:r>
      <w:r w:rsidRPr="00115A82">
        <w:rPr>
          <w:b/>
        </w:rPr>
        <w:t>B-</w:t>
      </w:r>
      <w:r w:rsidRPr="00115A82">
        <w:rPr>
          <w:b/>
          <w:noProof/>
        </w:rPr>
        <w:fldChar w:fldCharType="begin"/>
      </w:r>
      <w:r w:rsidRPr="00115A82">
        <w:rPr>
          <w:b/>
          <w:noProof/>
        </w:rPr>
        <w:instrText xml:space="preserve"> SEQ Table \* ARABIC </w:instrText>
      </w:r>
      <w:r w:rsidRPr="00115A82">
        <w:rPr>
          <w:b/>
          <w:noProof/>
        </w:rPr>
        <w:fldChar w:fldCharType="separate"/>
      </w:r>
      <w:r w:rsidR="00B706D6">
        <w:rPr>
          <w:b/>
          <w:noProof/>
        </w:rPr>
        <w:t>2</w:t>
      </w:r>
      <w:r w:rsidRPr="00115A82">
        <w:rPr>
          <w:b/>
          <w:noProof/>
        </w:rPr>
        <w:fldChar w:fldCharType="end"/>
      </w:r>
      <w:bookmarkEnd w:id="5"/>
      <w:r w:rsidRPr="00115A82">
        <w:rPr>
          <w:b/>
        </w:rPr>
        <w:t>: Excluded S</w:t>
      </w:r>
      <w:r w:rsidR="009F297D">
        <w:rPr>
          <w:b/>
        </w:rPr>
        <w:t>ervices Fee</w:t>
      </w:r>
    </w:p>
    <w:tbl>
      <w:tblPr>
        <w:tblW w:w="954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761"/>
        <w:gridCol w:w="4111"/>
        <w:gridCol w:w="4677"/>
      </w:tblGrid>
      <w:tr w:rsidR="009F297D" w:rsidRPr="00E11DBA" w14:paraId="538763F4" w14:textId="77777777" w:rsidTr="00234382">
        <w:tc>
          <w:tcPr>
            <w:tcW w:w="761" w:type="dxa"/>
            <w:shd w:val="pct15" w:color="auto" w:fill="auto"/>
          </w:tcPr>
          <w:p w14:paraId="49B43644" w14:textId="154B69AF" w:rsidR="009F297D" w:rsidRPr="00EB0ED9" w:rsidRDefault="009F297D" w:rsidP="000E7A37">
            <w:pPr>
              <w:pStyle w:val="Table8ptHeading-ASDEFCON"/>
            </w:pPr>
            <w:r>
              <w:t>No.</w:t>
            </w:r>
          </w:p>
        </w:tc>
        <w:tc>
          <w:tcPr>
            <w:tcW w:w="4111" w:type="dxa"/>
            <w:shd w:val="pct15" w:color="auto" w:fill="auto"/>
          </w:tcPr>
          <w:p w14:paraId="21929ECE" w14:textId="68CD79E3" w:rsidR="009F297D" w:rsidRPr="00882B75" w:rsidRDefault="00234382" w:rsidP="000E7A37">
            <w:pPr>
              <w:pStyle w:val="Table8ptHeading-ASDEFCON"/>
            </w:pPr>
            <w:r>
              <w:t>Pricing Period</w:t>
            </w:r>
          </w:p>
        </w:tc>
        <w:tc>
          <w:tcPr>
            <w:tcW w:w="4677" w:type="dxa"/>
            <w:shd w:val="pct15" w:color="auto" w:fill="auto"/>
          </w:tcPr>
          <w:p w14:paraId="6F5CBB39" w14:textId="77777777" w:rsidR="009F297D" w:rsidRPr="00882B75" w:rsidRDefault="009F297D" w:rsidP="000E7A37">
            <w:pPr>
              <w:pStyle w:val="Table8ptHeading-ASDEFCON"/>
            </w:pPr>
            <w:r>
              <w:t>Schedule Reference</w:t>
            </w:r>
          </w:p>
        </w:tc>
      </w:tr>
      <w:tr w:rsidR="009F297D" w:rsidRPr="00E11DBA" w14:paraId="64E408DC" w14:textId="77777777" w:rsidTr="00234382">
        <w:tc>
          <w:tcPr>
            <w:tcW w:w="761" w:type="dxa"/>
            <w:shd w:val="pct15" w:color="auto" w:fill="auto"/>
          </w:tcPr>
          <w:p w14:paraId="0C12775D" w14:textId="77777777" w:rsidR="009F297D" w:rsidRPr="00E11DBA" w:rsidRDefault="009F297D" w:rsidP="000E7A37">
            <w:pPr>
              <w:pStyle w:val="Table8ptHeading-ASDEFCON"/>
              <w:rPr>
                <w:highlight w:val="green"/>
              </w:rPr>
            </w:pPr>
            <w:r w:rsidRPr="00C26BE6">
              <w:t>(</w:t>
            </w:r>
            <w:r>
              <w:t>a</w:t>
            </w:r>
            <w:r w:rsidRPr="00C26BE6">
              <w:t>)</w:t>
            </w:r>
          </w:p>
        </w:tc>
        <w:tc>
          <w:tcPr>
            <w:tcW w:w="4111" w:type="dxa"/>
            <w:shd w:val="pct15" w:color="auto" w:fill="auto"/>
          </w:tcPr>
          <w:p w14:paraId="3B79D798" w14:textId="77777777" w:rsidR="009F297D" w:rsidRDefault="009F297D" w:rsidP="000E7A37">
            <w:pPr>
              <w:pStyle w:val="Table8ptHeading-ASDEFCON"/>
            </w:pPr>
            <w:r w:rsidRPr="00A94516">
              <w:t>(</w:t>
            </w:r>
            <w:r>
              <w:t>b</w:t>
            </w:r>
            <w:r w:rsidRPr="00A94516">
              <w:t>)</w:t>
            </w:r>
          </w:p>
        </w:tc>
        <w:tc>
          <w:tcPr>
            <w:tcW w:w="4677" w:type="dxa"/>
            <w:shd w:val="pct15" w:color="auto" w:fill="auto"/>
          </w:tcPr>
          <w:p w14:paraId="4E1DB636" w14:textId="3A3EEB85" w:rsidR="009F297D" w:rsidRPr="00882B75" w:rsidRDefault="009F297D" w:rsidP="000E7A37">
            <w:pPr>
              <w:pStyle w:val="Table8ptHeading-ASDEFCON"/>
            </w:pPr>
            <w:r w:rsidRPr="00C26BE6">
              <w:t>(</w:t>
            </w:r>
            <w:r>
              <w:t>c</w:t>
            </w:r>
            <w:r w:rsidRPr="00C26BE6">
              <w:t>)</w:t>
            </w:r>
          </w:p>
        </w:tc>
      </w:tr>
      <w:tr w:rsidR="00234382" w:rsidRPr="00EB0ED9" w14:paraId="1337308F" w14:textId="77777777" w:rsidTr="00234382">
        <w:tc>
          <w:tcPr>
            <w:tcW w:w="761" w:type="dxa"/>
          </w:tcPr>
          <w:p w14:paraId="1B34D88F" w14:textId="54F37B5E" w:rsidR="00234382" w:rsidRPr="00A55B77" w:rsidRDefault="00CC0809" w:rsidP="00CC0809">
            <w:pPr>
              <w:pStyle w:val="Table8ptText-ASDEFCON"/>
              <w:jc w:val="center"/>
            </w:pPr>
            <w:r>
              <w:t>1</w:t>
            </w:r>
          </w:p>
        </w:tc>
        <w:tc>
          <w:tcPr>
            <w:tcW w:w="4111" w:type="dxa"/>
          </w:tcPr>
          <w:p w14:paraId="5564AA5C" w14:textId="02C7237D" w:rsidR="00234382" w:rsidRPr="00A55B77" w:rsidRDefault="00CC0809" w:rsidP="000E7A37">
            <w:pPr>
              <w:pStyle w:val="Table8ptText-ASDEFCON"/>
            </w:pPr>
            <w:r>
              <w:rPr>
                <w:b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 INSERT MILESTONE ]"/>
                  </w:textInput>
                </w:ffData>
              </w:fldChar>
            </w:r>
            <w:r>
              <w:rPr>
                <w:b/>
                <w:noProof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 w:rsidR="00B706D6">
              <w:rPr>
                <w:b/>
                <w:noProof/>
              </w:rPr>
              <w:t>[ INSERT MILESTONE ]</w:t>
            </w:r>
            <w:r>
              <w:rPr>
                <w:b/>
                <w:noProof/>
              </w:rPr>
              <w:fldChar w:fldCharType="end"/>
            </w:r>
            <w:r>
              <w:rPr>
                <w:b/>
                <w:noProof/>
              </w:rPr>
              <w:t xml:space="preserve"> </w:t>
            </w:r>
            <w:r w:rsidRPr="00CC0809">
              <w:rPr>
                <w:noProof/>
              </w:rPr>
              <w:t>to Operative Date</w:t>
            </w:r>
          </w:p>
        </w:tc>
        <w:tc>
          <w:tcPr>
            <w:tcW w:w="4677" w:type="dxa"/>
            <w:vMerge w:val="restart"/>
          </w:tcPr>
          <w:p w14:paraId="1A92F7C0" w14:textId="71D1539C" w:rsidR="00234382" w:rsidRPr="00997965" w:rsidRDefault="00234382" w:rsidP="000E7A37">
            <w:pPr>
              <w:pStyle w:val="Table8ptText-ASDEFCON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[ INSERT REFERENCE TO EXCLUDED SERVICES FILE ]"/>
                  </w:textInput>
                </w:ffData>
              </w:fldChar>
            </w:r>
            <w:bookmarkStart w:id="6" w:name="Text1"/>
            <w:r>
              <w:instrText xml:space="preserve"> FORMTEXT </w:instrText>
            </w:r>
            <w:r>
              <w:fldChar w:fldCharType="separate"/>
            </w:r>
            <w:r w:rsidR="00B706D6">
              <w:rPr>
                <w:noProof/>
              </w:rPr>
              <w:t>[ INSERT REFERENCE TO EXCLUDED SERVICES FILE ]</w:t>
            </w:r>
            <w:r>
              <w:fldChar w:fldCharType="end"/>
            </w:r>
            <w:bookmarkEnd w:id="6"/>
          </w:p>
        </w:tc>
      </w:tr>
      <w:tr w:rsidR="00234382" w:rsidRPr="00EB0ED9" w14:paraId="0FAB1870" w14:textId="77777777" w:rsidTr="00234382">
        <w:tc>
          <w:tcPr>
            <w:tcW w:w="761" w:type="dxa"/>
          </w:tcPr>
          <w:p w14:paraId="474E8D14" w14:textId="1BD0B95D" w:rsidR="00234382" w:rsidRPr="00A55B77" w:rsidRDefault="00CC0809" w:rsidP="00CC0809">
            <w:pPr>
              <w:pStyle w:val="Table8ptText-ASDEFCON"/>
              <w:jc w:val="center"/>
            </w:pPr>
            <w:r>
              <w:t>2</w:t>
            </w:r>
          </w:p>
        </w:tc>
        <w:tc>
          <w:tcPr>
            <w:tcW w:w="4111" w:type="dxa"/>
          </w:tcPr>
          <w:p w14:paraId="2B871BC6" w14:textId="2EA31806" w:rsidR="00234382" w:rsidRPr="00A55B77" w:rsidRDefault="00CC0809" w:rsidP="000E7A37">
            <w:pPr>
              <w:pStyle w:val="Table8ptText-ASDEFCON"/>
            </w:pPr>
            <w:r>
              <w:t xml:space="preserve">Operative Date to </w:t>
            </w:r>
            <w:r>
              <w:rPr>
                <w:b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 INSERT MILESTONE ]"/>
                  </w:textInput>
                </w:ffData>
              </w:fldChar>
            </w:r>
            <w:r>
              <w:rPr>
                <w:b/>
                <w:noProof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 w:rsidR="00B706D6">
              <w:rPr>
                <w:b/>
                <w:noProof/>
              </w:rPr>
              <w:t>[ INSERT MILESTONE ]</w:t>
            </w:r>
            <w:r>
              <w:rPr>
                <w:b/>
                <w:noProof/>
              </w:rPr>
              <w:fldChar w:fldCharType="end"/>
            </w:r>
          </w:p>
        </w:tc>
        <w:tc>
          <w:tcPr>
            <w:tcW w:w="4677" w:type="dxa"/>
            <w:vMerge/>
          </w:tcPr>
          <w:p w14:paraId="55E00EF8" w14:textId="77777777" w:rsidR="00234382" w:rsidRPr="00997965" w:rsidRDefault="00234382" w:rsidP="000E7A37">
            <w:pPr>
              <w:pStyle w:val="Table8ptText-ASDEFCON"/>
            </w:pPr>
          </w:p>
        </w:tc>
      </w:tr>
      <w:tr w:rsidR="00234382" w:rsidRPr="00EB0ED9" w14:paraId="2D434124" w14:textId="77777777" w:rsidTr="00234382">
        <w:tc>
          <w:tcPr>
            <w:tcW w:w="761" w:type="dxa"/>
          </w:tcPr>
          <w:p w14:paraId="31D53A15" w14:textId="3163F40F" w:rsidR="00234382" w:rsidRPr="00A55B77" w:rsidRDefault="00CC0809" w:rsidP="00CC0809">
            <w:pPr>
              <w:pStyle w:val="Table8ptText-ASDEFCON"/>
              <w:jc w:val="center"/>
            </w:pPr>
            <w:r>
              <w:t>3</w:t>
            </w:r>
          </w:p>
        </w:tc>
        <w:tc>
          <w:tcPr>
            <w:tcW w:w="4111" w:type="dxa"/>
          </w:tcPr>
          <w:p w14:paraId="5C2216B6" w14:textId="682CCB2B" w:rsidR="00234382" w:rsidRPr="00115A82" w:rsidRDefault="00CC0809" w:rsidP="000E7A37">
            <w:pPr>
              <w:pStyle w:val="Table8ptText-ASDEFCON"/>
              <w:rPr>
                <w:b/>
              </w:rPr>
            </w:pPr>
            <w:r>
              <w:rPr>
                <w:b/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 INSERT YEAR BETWEEN ADJUSTMENT DATES ]"/>
                  </w:textInput>
                </w:ffData>
              </w:fldChar>
            </w:r>
            <w:r>
              <w:rPr>
                <w:b/>
                <w:noProof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 w:rsidR="00B706D6">
              <w:rPr>
                <w:b/>
                <w:noProof/>
              </w:rPr>
              <w:t>[ INSERT YEAR BETWEEN ADJUSTMENT DATES ]</w:t>
            </w:r>
            <w:r>
              <w:rPr>
                <w:b/>
                <w:noProof/>
              </w:rPr>
              <w:fldChar w:fldCharType="end"/>
            </w:r>
          </w:p>
        </w:tc>
        <w:tc>
          <w:tcPr>
            <w:tcW w:w="4677" w:type="dxa"/>
            <w:vMerge/>
          </w:tcPr>
          <w:p w14:paraId="5B42D070" w14:textId="77777777" w:rsidR="00234382" w:rsidRPr="00997965" w:rsidRDefault="00234382" w:rsidP="000E7A37">
            <w:pPr>
              <w:pStyle w:val="Table8ptText-ASDEFCON"/>
            </w:pPr>
          </w:p>
        </w:tc>
      </w:tr>
      <w:tr w:rsidR="00234382" w:rsidRPr="00EB0ED9" w14:paraId="6253D6BD" w14:textId="77777777" w:rsidTr="00234382">
        <w:tc>
          <w:tcPr>
            <w:tcW w:w="761" w:type="dxa"/>
          </w:tcPr>
          <w:p w14:paraId="0826BD80" w14:textId="77777777" w:rsidR="00234382" w:rsidRPr="00115A82" w:rsidRDefault="00234382" w:rsidP="00CC0809">
            <w:pPr>
              <w:pStyle w:val="Table8ptText-ASDEFCON"/>
              <w:jc w:val="center"/>
              <w:rPr>
                <w:b/>
              </w:rPr>
            </w:pPr>
          </w:p>
        </w:tc>
        <w:tc>
          <w:tcPr>
            <w:tcW w:w="4111" w:type="dxa"/>
          </w:tcPr>
          <w:p w14:paraId="51408C8C" w14:textId="77777777" w:rsidR="00234382" w:rsidRPr="00115A82" w:rsidRDefault="00234382" w:rsidP="000E7A37">
            <w:pPr>
              <w:pStyle w:val="Table8ptText-ASDEFCON"/>
              <w:rPr>
                <w:b/>
              </w:rPr>
            </w:pPr>
          </w:p>
        </w:tc>
        <w:tc>
          <w:tcPr>
            <w:tcW w:w="4677" w:type="dxa"/>
            <w:vMerge/>
          </w:tcPr>
          <w:p w14:paraId="6668ECDD" w14:textId="77777777" w:rsidR="00234382" w:rsidRPr="00EB0ED9" w:rsidRDefault="00234382" w:rsidP="000E7A37">
            <w:pPr>
              <w:pStyle w:val="Table8ptText-ASDEFCON"/>
            </w:pPr>
          </w:p>
        </w:tc>
      </w:tr>
    </w:tbl>
    <w:p w14:paraId="1257FF8D" w14:textId="77777777" w:rsidR="00CC0809" w:rsidRDefault="00CC0809" w:rsidP="00CC0809">
      <w:pPr>
        <w:pStyle w:val="ASDEFCONOptionSpace"/>
      </w:pPr>
    </w:p>
    <w:p w14:paraId="4562058C" w14:textId="18D8C8D2" w:rsidR="006F7EA8" w:rsidRPr="00FB19D2" w:rsidRDefault="00234382" w:rsidP="000E7A37">
      <w:pPr>
        <w:pStyle w:val="Note-ASDEFCON"/>
        <w:rPr>
          <w:sz w:val="16"/>
        </w:rPr>
      </w:pPr>
      <w:r>
        <w:rPr>
          <w:sz w:val="16"/>
        </w:rPr>
        <w:t>Notes on</w:t>
      </w:r>
      <w:r w:rsidR="006F7EA8" w:rsidRPr="00FB19D2">
        <w:rPr>
          <w:sz w:val="16"/>
        </w:rPr>
        <w:t xml:space="preserve"> </w:t>
      </w:r>
      <w:r w:rsidRPr="00234382">
        <w:rPr>
          <w:sz w:val="16"/>
        </w:rPr>
        <w:fldChar w:fldCharType="begin"/>
      </w:r>
      <w:r w:rsidRPr="00234382">
        <w:rPr>
          <w:sz w:val="16"/>
        </w:rPr>
        <w:instrText xml:space="preserve"> REF _Ref79765854 \h  \* MERGEFORMAT </w:instrText>
      </w:r>
      <w:r w:rsidRPr="00234382">
        <w:rPr>
          <w:sz w:val="16"/>
        </w:rPr>
      </w:r>
      <w:r w:rsidRPr="00234382">
        <w:rPr>
          <w:sz w:val="16"/>
        </w:rPr>
        <w:fldChar w:fldCharType="separate"/>
      </w:r>
      <w:r w:rsidR="00B706D6" w:rsidRPr="00B706D6">
        <w:rPr>
          <w:sz w:val="16"/>
        </w:rPr>
        <w:t>Table B-B-2</w:t>
      </w:r>
      <w:r w:rsidRPr="00234382">
        <w:rPr>
          <w:sz w:val="16"/>
        </w:rPr>
        <w:fldChar w:fldCharType="end"/>
      </w:r>
      <w:r>
        <w:rPr>
          <w:sz w:val="16"/>
        </w:rPr>
        <w:t>:</w:t>
      </w:r>
    </w:p>
    <w:p w14:paraId="5C7BB37C" w14:textId="2FE0BC5E" w:rsidR="006F7EA8" w:rsidRPr="00891324" w:rsidRDefault="00234382" w:rsidP="00607D1C">
      <w:pPr>
        <w:pStyle w:val="NoteList-ASDEFCON"/>
        <w:numPr>
          <w:ilvl w:val="0"/>
          <w:numId w:val="38"/>
        </w:numPr>
        <w:rPr>
          <w:sz w:val="16"/>
          <w:szCs w:val="16"/>
        </w:rPr>
      </w:pPr>
      <w:r>
        <w:rPr>
          <w:sz w:val="16"/>
          <w:szCs w:val="16"/>
        </w:rPr>
        <w:t>No.</w:t>
      </w:r>
      <w:r w:rsidR="006F7EA8" w:rsidRPr="00891324">
        <w:rPr>
          <w:sz w:val="16"/>
          <w:szCs w:val="16"/>
        </w:rPr>
        <w:t xml:space="preserve">:  A serial number assigned to each </w:t>
      </w:r>
      <w:r w:rsidR="00CC0809">
        <w:rPr>
          <w:sz w:val="16"/>
          <w:szCs w:val="16"/>
        </w:rPr>
        <w:t>pricing period for Excluded Services.</w:t>
      </w:r>
    </w:p>
    <w:p w14:paraId="10A17DE8" w14:textId="39BC11B4" w:rsidR="006F7EA8" w:rsidRPr="00891324" w:rsidRDefault="00CC0809" w:rsidP="000E7A37">
      <w:pPr>
        <w:pStyle w:val="NoteList-ASDEFCON"/>
        <w:rPr>
          <w:sz w:val="16"/>
          <w:szCs w:val="16"/>
        </w:rPr>
      </w:pPr>
      <w:r>
        <w:rPr>
          <w:sz w:val="16"/>
          <w:szCs w:val="16"/>
        </w:rPr>
        <w:t>Pricing Period</w:t>
      </w:r>
      <w:r w:rsidR="006F7EA8" w:rsidRPr="00891324">
        <w:rPr>
          <w:sz w:val="16"/>
          <w:szCs w:val="16"/>
        </w:rPr>
        <w:t xml:space="preserve">:  </w:t>
      </w:r>
      <w:r>
        <w:rPr>
          <w:iCs/>
          <w:sz w:val="16"/>
        </w:rPr>
        <w:t>The pricing period, between applicable Milestones</w:t>
      </w:r>
      <w:r w:rsidRPr="005110F2">
        <w:rPr>
          <w:iCs/>
          <w:sz w:val="16"/>
        </w:rPr>
        <w:t xml:space="preserve"> </w:t>
      </w:r>
      <w:r>
        <w:rPr>
          <w:iCs/>
          <w:sz w:val="16"/>
        </w:rPr>
        <w:t>in Attachment C or the applicable year (</w:t>
      </w:r>
      <w:proofErr w:type="spellStart"/>
      <w:r>
        <w:rPr>
          <w:iCs/>
          <w:sz w:val="16"/>
        </w:rPr>
        <w:t>ie</w:t>
      </w:r>
      <w:proofErr w:type="spellEnd"/>
      <w:r>
        <w:rPr>
          <w:iCs/>
          <w:sz w:val="16"/>
        </w:rPr>
        <w:t>, each year following a price adjustment in accordance with clause 8 of Attachment B)</w:t>
      </w:r>
      <w:r w:rsidRPr="005110F2">
        <w:rPr>
          <w:iCs/>
          <w:sz w:val="16"/>
        </w:rPr>
        <w:t>.</w:t>
      </w:r>
    </w:p>
    <w:p w14:paraId="0AAC5562" w14:textId="7A3F1149" w:rsidR="00607D1C" w:rsidRDefault="006F7EA8" w:rsidP="009954CA">
      <w:pPr>
        <w:pStyle w:val="NoteList-ASDEFCON"/>
        <w:jc w:val="left"/>
      </w:pPr>
      <w:r w:rsidRPr="005E36FB">
        <w:rPr>
          <w:sz w:val="16"/>
          <w:szCs w:val="16"/>
        </w:rPr>
        <w:t xml:space="preserve">Schedule Reference:  Reference to </w:t>
      </w:r>
      <w:r w:rsidR="00732AD0" w:rsidRPr="005E36FB">
        <w:rPr>
          <w:iCs/>
          <w:sz w:val="16"/>
        </w:rPr>
        <w:t>the file (</w:t>
      </w:r>
      <w:proofErr w:type="spellStart"/>
      <w:r w:rsidR="00732AD0" w:rsidRPr="005E36FB">
        <w:rPr>
          <w:iCs/>
          <w:sz w:val="16"/>
        </w:rPr>
        <w:t>eg</w:t>
      </w:r>
      <w:proofErr w:type="spellEnd"/>
      <w:r w:rsidR="00732AD0" w:rsidRPr="005E36FB">
        <w:rPr>
          <w:iCs/>
          <w:sz w:val="16"/>
        </w:rPr>
        <w:t xml:space="preserve">, PDF of Excel worksheet) that forms the schedule to Annex B containing the pricing information for </w:t>
      </w:r>
      <w:r w:rsidRPr="005E36FB">
        <w:rPr>
          <w:sz w:val="16"/>
          <w:szCs w:val="16"/>
        </w:rPr>
        <w:t>Excluded Services Fees</w:t>
      </w:r>
      <w:r w:rsidR="00732AD0" w:rsidRPr="005E36FB">
        <w:rPr>
          <w:sz w:val="16"/>
          <w:szCs w:val="16"/>
        </w:rPr>
        <w:t>,</w:t>
      </w:r>
      <w:r w:rsidR="00732AD0" w:rsidRPr="005E36FB">
        <w:rPr>
          <w:iCs/>
          <w:sz w:val="16"/>
        </w:rPr>
        <w:t xml:space="preserve"> for the applicable pricing period(s)</w:t>
      </w:r>
      <w:r w:rsidRPr="005E36FB">
        <w:rPr>
          <w:sz w:val="16"/>
          <w:szCs w:val="16"/>
        </w:rPr>
        <w:t>.</w:t>
      </w:r>
      <w:bookmarkEnd w:id="4"/>
    </w:p>
    <w:sectPr w:rsidR="00607D1C" w:rsidSect="00B706D6">
      <w:headerReference w:type="default" r:id="rId7"/>
      <w:footerReference w:type="default" r:id="rId8"/>
      <w:pgSz w:w="11906" w:h="16838"/>
      <w:pgMar w:top="1134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30D6A" w14:textId="77777777" w:rsidR="00B706D6" w:rsidRDefault="00B706D6" w:rsidP="00B706D6">
      <w:pPr>
        <w:spacing w:after="0"/>
      </w:pPr>
      <w:r>
        <w:separator/>
      </w:r>
    </w:p>
  </w:endnote>
  <w:endnote w:type="continuationSeparator" w:id="0">
    <w:p w14:paraId="433C1E90" w14:textId="77777777" w:rsidR="00B706D6" w:rsidRDefault="00B706D6" w:rsidP="00B706D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819"/>
      <w:gridCol w:w="4819"/>
    </w:tblGrid>
    <w:tr w:rsidR="00B706D6" w14:paraId="74C9699B" w14:textId="77777777" w:rsidTr="00B706D6">
      <w:tblPrEx>
        <w:tblCellMar>
          <w:top w:w="0" w:type="dxa"/>
          <w:bottom w:w="0" w:type="dxa"/>
        </w:tblCellMar>
      </w:tblPrEx>
      <w:tc>
        <w:tcPr>
          <w:tcW w:w="2500" w:type="pct"/>
        </w:tcPr>
        <w:p w14:paraId="4099266E" w14:textId="292FBEAB" w:rsidR="00B706D6" w:rsidRDefault="00B706D6" w:rsidP="00B706D6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>
            <w:t>Attachment to Draft Conditions of Contract</w:t>
          </w:r>
          <w:r>
            <w:fldChar w:fldCharType="end"/>
          </w:r>
          <w:r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>
            <w:t>V5.0</w:t>
          </w:r>
          <w:r>
            <w:fldChar w:fldCharType="end"/>
          </w:r>
          <w:r>
            <w:t>)</w:t>
          </w:r>
        </w:p>
      </w:tc>
      <w:tc>
        <w:tcPr>
          <w:tcW w:w="2500" w:type="pct"/>
        </w:tcPr>
        <w:p w14:paraId="4E643170" w14:textId="7B519436" w:rsidR="00B706D6" w:rsidRDefault="009C1864" w:rsidP="00B706D6">
          <w:pPr>
            <w:pStyle w:val="ASDEFCONHeaderFooterRight"/>
          </w:pPr>
          <w:r>
            <w:t>BB-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64E94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  <w:tr w:rsidR="00B706D6" w14:paraId="38F9012A" w14:textId="77777777" w:rsidTr="00B706D6">
      <w:tblPrEx>
        <w:tblCellMar>
          <w:top w:w="0" w:type="dxa"/>
          <w:bottom w:w="0" w:type="dxa"/>
        </w:tblCellMar>
      </w:tblPrEx>
      <w:tc>
        <w:tcPr>
          <w:tcW w:w="5000" w:type="pct"/>
          <w:gridSpan w:val="2"/>
        </w:tcPr>
        <w:p w14:paraId="10521B96" w14:textId="05067C00" w:rsidR="00B706D6" w:rsidRDefault="00B706D6" w:rsidP="00B706D6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</w:tbl>
  <w:p w14:paraId="2A34E2FC" w14:textId="77777777" w:rsidR="00B706D6" w:rsidRDefault="00B706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06B0D" w14:textId="77777777" w:rsidR="00B706D6" w:rsidRDefault="00B706D6" w:rsidP="00B706D6">
      <w:pPr>
        <w:spacing w:after="0"/>
      </w:pPr>
      <w:r>
        <w:separator/>
      </w:r>
    </w:p>
  </w:footnote>
  <w:footnote w:type="continuationSeparator" w:id="0">
    <w:p w14:paraId="1886F0E6" w14:textId="77777777" w:rsidR="00B706D6" w:rsidRDefault="00B706D6" w:rsidP="00B706D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819"/>
      <w:gridCol w:w="4819"/>
    </w:tblGrid>
    <w:tr w:rsidR="00B706D6" w14:paraId="596FE36A" w14:textId="77777777" w:rsidTr="00B706D6">
      <w:tblPrEx>
        <w:tblCellMar>
          <w:top w:w="0" w:type="dxa"/>
          <w:bottom w:w="0" w:type="dxa"/>
        </w:tblCellMar>
      </w:tblPrEx>
      <w:trPr>
        <w:trHeight w:val="346"/>
      </w:trPr>
      <w:tc>
        <w:tcPr>
          <w:tcW w:w="5000" w:type="pct"/>
          <w:gridSpan w:val="2"/>
        </w:tcPr>
        <w:p w14:paraId="0ED6971D" w14:textId="73441F73" w:rsidR="00B706D6" w:rsidRDefault="00B706D6" w:rsidP="00B706D6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  <w:tr w:rsidR="00B706D6" w14:paraId="6F010CEC" w14:textId="77777777" w:rsidTr="00B706D6">
      <w:tblPrEx>
        <w:tblCellMar>
          <w:top w:w="0" w:type="dxa"/>
          <w:bottom w:w="0" w:type="dxa"/>
        </w:tblCellMar>
      </w:tblPrEx>
      <w:tc>
        <w:tcPr>
          <w:tcW w:w="2500" w:type="pct"/>
        </w:tcPr>
        <w:p w14:paraId="347435F8" w14:textId="5E88B258" w:rsidR="00B706D6" w:rsidRDefault="00B706D6" w:rsidP="00B706D6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>
            <w:t>ASDEFCON (Support)</w:t>
          </w:r>
          <w:r>
            <w:fldChar w:fldCharType="end"/>
          </w:r>
        </w:p>
      </w:tc>
      <w:tc>
        <w:tcPr>
          <w:tcW w:w="2500" w:type="pct"/>
        </w:tcPr>
        <w:p w14:paraId="69474A7A" w14:textId="43D47C73" w:rsidR="00B706D6" w:rsidRDefault="00B706D6" w:rsidP="00B706D6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>
            <w:t>PART 2</w:t>
          </w:r>
          <w:r>
            <w:fldChar w:fldCharType="end"/>
          </w:r>
        </w:p>
      </w:tc>
    </w:tr>
  </w:tbl>
  <w:p w14:paraId="486AD5C7" w14:textId="2400B320" w:rsidR="00B706D6" w:rsidRDefault="00B706D6" w:rsidP="00B706D6">
    <w:pPr>
      <w:pStyle w:val="ASDEFCONHeaderFooterClassification"/>
    </w:pPr>
    <w:r>
      <w:t xml:space="preserve">ANNEX </w:t>
    </w:r>
    <w:r w:rsidR="005E36FB">
      <w:t>B</w:t>
    </w:r>
    <w:r>
      <w:t xml:space="preserve"> TO ATTACHMENT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9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1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"/>
  </w:num>
  <w:num w:numId="3">
    <w:abstractNumId w:val="0"/>
  </w:num>
  <w:num w:numId="4">
    <w:abstractNumId w:val="30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0"/>
  </w:num>
  <w:num w:numId="9">
    <w:abstractNumId w:val="27"/>
  </w:num>
  <w:num w:numId="10">
    <w:abstractNumId w:val="17"/>
  </w:num>
  <w:num w:numId="11">
    <w:abstractNumId w:val="5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31"/>
  </w:num>
  <w:num w:numId="15">
    <w:abstractNumId w:val="11"/>
  </w:num>
  <w:num w:numId="16">
    <w:abstractNumId w:val="16"/>
  </w:num>
  <w:num w:numId="17">
    <w:abstractNumId w:val="14"/>
  </w:num>
  <w:num w:numId="18">
    <w:abstractNumId w:val="33"/>
  </w:num>
  <w:num w:numId="19">
    <w:abstractNumId w:val="8"/>
  </w:num>
  <w:num w:numId="20">
    <w:abstractNumId w:val="1"/>
  </w:num>
  <w:num w:numId="21">
    <w:abstractNumId w:val="3"/>
  </w:num>
  <w:num w:numId="22">
    <w:abstractNumId w:val="13"/>
  </w:num>
  <w:num w:numId="23">
    <w:abstractNumId w:val="18"/>
  </w:num>
  <w:num w:numId="24">
    <w:abstractNumId w:val="28"/>
  </w:num>
  <w:num w:numId="25">
    <w:abstractNumId w:val="29"/>
  </w:num>
  <w:num w:numId="26">
    <w:abstractNumId w:val="4"/>
  </w:num>
  <w:num w:numId="27">
    <w:abstractNumId w:val="32"/>
  </w:num>
  <w:num w:numId="28">
    <w:abstractNumId w:val="12"/>
  </w:num>
  <w:num w:numId="29">
    <w:abstractNumId w:val="26"/>
  </w:num>
  <w:num w:numId="30">
    <w:abstractNumId w:val="19"/>
  </w:num>
  <w:num w:numId="31">
    <w:abstractNumId w:val="7"/>
  </w:num>
  <w:num w:numId="32">
    <w:abstractNumId w:val="2"/>
  </w:num>
  <w:num w:numId="33">
    <w:abstractNumId w:val="23"/>
  </w:num>
  <w:num w:numId="34">
    <w:abstractNumId w:val="15"/>
  </w:num>
  <w:num w:numId="35">
    <w:abstractNumId w:val="24"/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D1C"/>
    <w:rsid w:val="000D2643"/>
    <w:rsid w:val="00164E94"/>
    <w:rsid w:val="00234382"/>
    <w:rsid w:val="00574A09"/>
    <w:rsid w:val="00583C82"/>
    <w:rsid w:val="005E36FB"/>
    <w:rsid w:val="00607D1C"/>
    <w:rsid w:val="0068024A"/>
    <w:rsid w:val="006E62B9"/>
    <w:rsid w:val="006F4864"/>
    <w:rsid w:val="006F7EA8"/>
    <w:rsid w:val="00732AD0"/>
    <w:rsid w:val="007D6BB8"/>
    <w:rsid w:val="008309AD"/>
    <w:rsid w:val="00981FD5"/>
    <w:rsid w:val="009B2BB3"/>
    <w:rsid w:val="009C1864"/>
    <w:rsid w:val="009F297D"/>
    <w:rsid w:val="00B706D6"/>
    <w:rsid w:val="00B87B02"/>
    <w:rsid w:val="00CB1CCF"/>
    <w:rsid w:val="00CC0809"/>
    <w:rsid w:val="00DD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F4283"/>
  <w15:chartTrackingRefBased/>
  <w15:docId w15:val="{0B8DFF57-DD42-4A23-8F6E-6C74C643E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06D6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B706D6"/>
    <w:pPr>
      <w:keepNext/>
      <w:numPr>
        <w:numId w:val="1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706D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(1),Major Sections,subsub,Para 3,h3"/>
    <w:basedOn w:val="Normal"/>
    <w:next w:val="Normal"/>
    <w:link w:val="Heading3Char"/>
    <w:qFormat/>
    <w:rsid w:val="00607D1C"/>
    <w:pPr>
      <w:keepNext/>
      <w:keepLines/>
      <w:numPr>
        <w:ilvl w:val="2"/>
        <w:numId w:val="37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headhbk,(a),h4"/>
    <w:basedOn w:val="Normal"/>
    <w:next w:val="Normal"/>
    <w:link w:val="Heading4Char"/>
    <w:qFormat/>
    <w:rsid w:val="00607D1C"/>
    <w:pPr>
      <w:keepNext/>
      <w:keepLines/>
      <w:numPr>
        <w:ilvl w:val="3"/>
        <w:numId w:val="37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i.,H,subsubpara,1.1.1.1.1"/>
    <w:basedOn w:val="Normal"/>
    <w:next w:val="Normal"/>
    <w:link w:val="Heading5Char"/>
    <w:qFormat/>
    <w:rsid w:val="00607D1C"/>
    <w:pPr>
      <w:numPr>
        <w:ilvl w:val="4"/>
        <w:numId w:val="37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"/>
    <w:basedOn w:val="Normal"/>
    <w:next w:val="Normal"/>
    <w:link w:val="Heading6Char"/>
    <w:qFormat/>
    <w:rsid w:val="00607D1C"/>
    <w:pPr>
      <w:numPr>
        <w:ilvl w:val="5"/>
        <w:numId w:val="37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aliases w:val="Spare3,h7,H7,Legal Level 1.1.,7,Response Alpha,Response Numeral,Heading 7 Char1 Char1,Heading 7 Char Char Char1,Heading 7 Char1 Char1 Char Char Char1,Heading 7 Char Char Char1 Char Char Char1"/>
    <w:basedOn w:val="Normal"/>
    <w:next w:val="Normal"/>
    <w:link w:val="Heading7Char"/>
    <w:qFormat/>
    <w:rsid w:val="00607D1C"/>
    <w:pPr>
      <w:numPr>
        <w:ilvl w:val="6"/>
        <w:numId w:val="37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"/>
    <w:basedOn w:val="Normal"/>
    <w:next w:val="Normal"/>
    <w:link w:val="Heading8Char"/>
    <w:qFormat/>
    <w:rsid w:val="00607D1C"/>
    <w:pPr>
      <w:numPr>
        <w:ilvl w:val="7"/>
        <w:numId w:val="37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"/>
    <w:basedOn w:val="Normal"/>
    <w:next w:val="Normal"/>
    <w:link w:val="Heading9Char"/>
    <w:qFormat/>
    <w:rsid w:val="00607D1C"/>
    <w:pPr>
      <w:numPr>
        <w:ilvl w:val="8"/>
        <w:numId w:val="37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B706D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706D6"/>
  </w:style>
  <w:style w:type="paragraph" w:customStyle="1" w:styleId="ASDEFCONNormal">
    <w:name w:val="ASDEFCON Normal"/>
    <w:link w:val="ASDEFCONNormalChar"/>
    <w:rsid w:val="00B706D6"/>
    <w:pPr>
      <w:spacing w:after="120" w:line="240" w:lineRule="auto"/>
      <w:jc w:val="both"/>
    </w:pPr>
    <w:rPr>
      <w:rFonts w:ascii="Arial" w:eastAsia="Times New Roman" w:hAnsi="Arial" w:cs="Times New Roman"/>
      <w:color w:val="000000"/>
      <w:sz w:val="20"/>
      <w:szCs w:val="40"/>
      <w:lang w:eastAsia="en-AU"/>
    </w:rPr>
  </w:style>
  <w:style w:type="character" w:customStyle="1" w:styleId="ASDEFCONNormalChar">
    <w:name w:val="ASDEFCON Normal Char"/>
    <w:link w:val="ASDEFCONNormal"/>
    <w:rsid w:val="00B706D6"/>
    <w:rPr>
      <w:rFonts w:ascii="Arial" w:eastAsia="Times New Roman" w:hAnsi="Arial" w:cs="Times New Roman"/>
      <w:color w:val="000000"/>
      <w:sz w:val="20"/>
      <w:szCs w:val="40"/>
      <w:lang w:eastAsia="en-AU"/>
    </w:rPr>
  </w:style>
  <w:style w:type="paragraph" w:customStyle="1" w:styleId="COTCOCLV2-ASDEFCON">
    <w:name w:val="COT/COC LV2 - ASDEFCON"/>
    <w:basedOn w:val="ASDEFCONNormal"/>
    <w:next w:val="COTCOCLV3-ASDEFCON"/>
    <w:rsid w:val="00B706D6"/>
    <w:pPr>
      <w:keepNext/>
      <w:keepLines/>
      <w:numPr>
        <w:ilvl w:val="1"/>
        <w:numId w:val="1"/>
      </w:numPr>
      <w:pBdr>
        <w:bottom w:val="single" w:sz="4" w:space="1" w:color="auto"/>
      </w:pBdr>
    </w:pPr>
    <w:rPr>
      <w:b/>
    </w:rPr>
  </w:style>
  <w:style w:type="paragraph" w:customStyle="1" w:styleId="COTCOCLV3-ASDEFCON">
    <w:name w:val="COT/COC LV3 - ASDEFCON"/>
    <w:basedOn w:val="ASDEFCONNormal"/>
    <w:rsid w:val="00B706D6"/>
    <w:pPr>
      <w:numPr>
        <w:ilvl w:val="2"/>
        <w:numId w:val="1"/>
      </w:numPr>
    </w:pPr>
  </w:style>
  <w:style w:type="paragraph" w:customStyle="1" w:styleId="COTCOCLV1-ASDEFCON">
    <w:name w:val="COT/COC LV1 - ASDEFCON"/>
    <w:basedOn w:val="ASDEFCONNormal"/>
    <w:next w:val="COTCOCLV2-ASDEFCON"/>
    <w:rsid w:val="00B706D6"/>
    <w:pPr>
      <w:keepNext/>
      <w:keepLines/>
      <w:numPr>
        <w:numId w:val="1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B706D6"/>
    <w:pPr>
      <w:numPr>
        <w:ilvl w:val="3"/>
        <w:numId w:val="1"/>
      </w:numPr>
    </w:pPr>
  </w:style>
  <w:style w:type="paragraph" w:customStyle="1" w:styleId="COTCOCLV5-ASDEFCON">
    <w:name w:val="COT/COC LV5 - ASDEFCON"/>
    <w:basedOn w:val="ASDEFCONNormal"/>
    <w:rsid w:val="00B706D6"/>
    <w:pPr>
      <w:numPr>
        <w:ilvl w:val="4"/>
        <w:numId w:val="1"/>
      </w:numPr>
    </w:pPr>
  </w:style>
  <w:style w:type="paragraph" w:customStyle="1" w:styleId="COTCOCLV6-ASDEFCON">
    <w:name w:val="COT/COC LV6 - ASDEFCON"/>
    <w:basedOn w:val="ASDEFCONNormal"/>
    <w:rsid w:val="00B706D6"/>
    <w:pPr>
      <w:keepLines/>
      <w:numPr>
        <w:ilvl w:val="5"/>
        <w:numId w:val="1"/>
      </w:numPr>
    </w:pPr>
  </w:style>
  <w:style w:type="paragraph" w:customStyle="1" w:styleId="NoteToDrafters-ASDEFCON">
    <w:name w:val="Note To Drafters - ASDEFCON"/>
    <w:basedOn w:val="ASDEFCONNormal"/>
    <w:rsid w:val="00B706D6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B706D6"/>
    <w:pPr>
      <w:keepNext/>
      <w:shd w:val="pct15" w:color="auto" w:fill="auto"/>
    </w:pPr>
    <w:rPr>
      <w:b/>
      <w:i/>
    </w:rPr>
  </w:style>
  <w:style w:type="paragraph" w:customStyle="1" w:styleId="Note-ASDEFCON">
    <w:name w:val="Note - ASDEFCON"/>
    <w:basedOn w:val="ASDEFCONNormal"/>
    <w:rsid w:val="00B706D6"/>
    <w:rPr>
      <w:b/>
      <w:i/>
    </w:rPr>
  </w:style>
  <w:style w:type="paragraph" w:customStyle="1" w:styleId="Table8ptHeading-ASDEFCON">
    <w:name w:val="Table 8pt Heading - ASDEFCON"/>
    <w:basedOn w:val="ASDEFCONNormal"/>
    <w:rsid w:val="00B706D6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B706D6"/>
    <w:pPr>
      <w:numPr>
        <w:numId w:val="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8ptSub1-ASDEFCON">
    <w:name w:val="Table 8pt Sub1 - ASDEFCON"/>
    <w:basedOn w:val="Table8ptText-ASDEFCON"/>
    <w:rsid w:val="00B706D6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B706D6"/>
    <w:pPr>
      <w:numPr>
        <w:ilvl w:val="2"/>
      </w:numPr>
    </w:pPr>
  </w:style>
  <w:style w:type="paragraph" w:customStyle="1" w:styleId="NoteList-ASDEFCON">
    <w:name w:val="Note List - ASDEFCON"/>
    <w:basedOn w:val="ASDEFCONNormal"/>
    <w:rsid w:val="00B706D6"/>
    <w:pPr>
      <w:numPr>
        <w:numId w:val="2"/>
      </w:numPr>
    </w:pPr>
    <w:rPr>
      <w:b/>
      <w:bCs/>
      <w:i/>
    </w:rPr>
  </w:style>
  <w:style w:type="paragraph" w:customStyle="1" w:styleId="ASDEFCONOptionSpace">
    <w:name w:val="ASDEFCON Option Space"/>
    <w:basedOn w:val="ASDEFCONNormal"/>
    <w:rsid w:val="00B706D6"/>
    <w:pPr>
      <w:spacing w:after="0"/>
    </w:pPr>
    <w:rPr>
      <w:bCs/>
      <w:color w:val="FFFFFF"/>
      <w:sz w:val="8"/>
    </w:rPr>
  </w:style>
  <w:style w:type="character" w:customStyle="1" w:styleId="Heading1Char">
    <w:name w:val="Heading 1 Char"/>
    <w:link w:val="Heading1"/>
    <w:rsid w:val="006F4864"/>
    <w:rPr>
      <w:rFonts w:ascii="Arial" w:eastAsia="Times New Roman" w:hAnsi="Arial" w:cs="Arial"/>
      <w:b/>
      <w:bCs/>
      <w:kern w:val="32"/>
      <w:sz w:val="32"/>
      <w:szCs w:val="32"/>
      <w:lang w:eastAsia="en-AU"/>
    </w:rPr>
  </w:style>
  <w:style w:type="character" w:customStyle="1" w:styleId="Heading2Char">
    <w:name w:val="Heading 2 Char"/>
    <w:link w:val="Heading2"/>
    <w:rsid w:val="00B706D6"/>
    <w:rPr>
      <w:rFonts w:ascii="Cambria" w:eastAsia="Times New Roman" w:hAnsi="Cambria" w:cs="Times New Roman"/>
      <w:b/>
      <w:bCs/>
      <w:color w:val="4F81BD"/>
      <w:sz w:val="26"/>
      <w:szCs w:val="26"/>
      <w:lang w:eastAsia="en-AU"/>
    </w:rPr>
  </w:style>
  <w:style w:type="paragraph" w:customStyle="1" w:styleId="ASDEFCONOption">
    <w:name w:val="ASDEFCON Option"/>
    <w:basedOn w:val="ASDEFCONNormal"/>
    <w:rsid w:val="00B706D6"/>
    <w:pPr>
      <w:keepNext/>
      <w:spacing w:before="60"/>
    </w:pPr>
    <w:rPr>
      <w:b/>
      <w:i/>
      <w:szCs w:val="24"/>
    </w:rPr>
  </w:style>
  <w:style w:type="paragraph" w:customStyle="1" w:styleId="ASDEFCONTitle">
    <w:name w:val="ASDEFCON Title"/>
    <w:basedOn w:val="ASDEFCONNormal"/>
    <w:rsid w:val="00B706D6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B706D6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B706D6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B706D6"/>
    <w:rPr>
      <w:rFonts w:ascii="Arial" w:eastAsia="Times New Roman" w:hAnsi="Arial" w:cs="Times New Roman"/>
      <w:color w:val="000000"/>
      <w:sz w:val="20"/>
      <w:szCs w:val="24"/>
      <w:lang w:eastAsia="en-AU"/>
    </w:rPr>
  </w:style>
  <w:style w:type="paragraph" w:customStyle="1" w:styleId="ATTANNLV3-ASDEFCON">
    <w:name w:val="ATT/ANN LV3 - ASDEFCON"/>
    <w:basedOn w:val="ASDEFCONNormal"/>
    <w:rsid w:val="00B706D6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B706D6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B706D6"/>
    <w:pPr>
      <w:spacing w:after="0" w:line="240" w:lineRule="auto"/>
      <w:jc w:val="center"/>
    </w:pPr>
    <w:rPr>
      <w:rFonts w:ascii="Georgia" w:eastAsia="Times New Roman" w:hAnsi="Georgia" w:cs="Times New Roman"/>
      <w:b/>
      <w:color w:val="000000"/>
      <w:sz w:val="100"/>
      <w:szCs w:val="24"/>
      <w:lang w:eastAsia="en-AU"/>
    </w:rPr>
  </w:style>
  <w:style w:type="paragraph" w:customStyle="1" w:styleId="ASDEFCONHeaderFooterLeft">
    <w:name w:val="ASDEFCON Header/Footer Left"/>
    <w:basedOn w:val="ASDEFCONNormal"/>
    <w:rsid w:val="00B706D6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B706D6"/>
    <w:pPr>
      <w:keepNext/>
      <w:spacing w:before="480" w:after="0" w:line="240" w:lineRule="auto"/>
      <w:ind w:firstLine="1701"/>
    </w:pPr>
    <w:rPr>
      <w:rFonts w:ascii="Franklin Gothic Medium" w:eastAsia="Times New Roman" w:hAnsi="Franklin Gothic Medium" w:cs="Times New Roman"/>
      <w:color w:val="000000"/>
      <w:sz w:val="52"/>
      <w:szCs w:val="40"/>
      <w:lang w:eastAsia="en-AU"/>
    </w:rPr>
  </w:style>
  <w:style w:type="paragraph" w:customStyle="1" w:styleId="COTCOCLV2NONUM-ASDEFCON">
    <w:name w:val="COT/COC LV2 NONUM - ASDEFCON"/>
    <w:basedOn w:val="COTCOCLV2-ASDEFCON"/>
    <w:next w:val="COTCOCLV3-ASDEFCON"/>
    <w:rsid w:val="00B706D6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B706D6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B706D6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B706D6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B706D6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B706D6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B706D6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B706D6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B706D6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B706D6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B706D6"/>
    <w:pPr>
      <w:numPr>
        <w:numId w:val="7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B706D6"/>
    <w:pPr>
      <w:numPr>
        <w:numId w:val="8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B706D6"/>
    <w:pPr>
      <w:numPr>
        <w:numId w:val="9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B706D6"/>
    <w:pPr>
      <w:numPr>
        <w:numId w:val="10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B706D6"/>
    <w:pPr>
      <w:keepNext/>
      <w:numPr>
        <w:numId w:val="11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B706D6"/>
    <w:pPr>
      <w:keepNext/>
      <w:numPr>
        <w:ilvl w:val="1"/>
        <w:numId w:val="11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B706D6"/>
    <w:pPr>
      <w:keepNext/>
      <w:numPr>
        <w:ilvl w:val="2"/>
        <w:numId w:val="11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B706D6"/>
    <w:pPr>
      <w:keepNext/>
      <w:numPr>
        <w:ilvl w:val="3"/>
        <w:numId w:val="11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B706D6"/>
    <w:pPr>
      <w:keepNext/>
      <w:numPr>
        <w:ilvl w:val="4"/>
        <w:numId w:val="11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B706D6"/>
    <w:pPr>
      <w:numPr>
        <w:ilvl w:val="5"/>
        <w:numId w:val="11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B706D6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B706D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B706D6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B706D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B706D6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B706D6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B706D6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B706D6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B706D6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B706D6"/>
    <w:pPr>
      <w:numPr>
        <w:ilvl w:val="6"/>
        <w:numId w:val="11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B706D6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B706D6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B706D6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07D1C"/>
    <w:rPr>
      <w:rFonts w:ascii="Arial" w:eastAsia="Times New Roman" w:hAnsi="Arial" w:cs="Times New Roman"/>
      <w:sz w:val="20"/>
      <w:szCs w:val="20"/>
      <w:lang w:eastAsia="en-AU"/>
    </w:rPr>
  </w:style>
  <w:style w:type="paragraph" w:customStyle="1" w:styleId="ASDEFCONTextBlock">
    <w:name w:val="ASDEFCON TextBlock"/>
    <w:basedOn w:val="ASDEFCONNormal"/>
    <w:qFormat/>
    <w:rsid w:val="00B706D6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B706D6"/>
    <w:pPr>
      <w:numPr>
        <w:numId w:val="14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B706D6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10ptText-ASDEFCON">
    <w:name w:val="Table 10pt Text - ASDEFCON"/>
    <w:basedOn w:val="ASDEFCONNormal"/>
    <w:link w:val="Table10ptText-ASDEFCONCharChar"/>
    <w:rsid w:val="00B706D6"/>
    <w:pPr>
      <w:numPr>
        <w:numId w:val="2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B706D6"/>
    <w:rPr>
      <w:rFonts w:ascii="Arial" w:eastAsia="Calibri" w:hAnsi="Arial" w:cs="Times New Roman"/>
      <w:color w:val="000000"/>
      <w:sz w:val="20"/>
    </w:rPr>
  </w:style>
  <w:style w:type="paragraph" w:customStyle="1" w:styleId="Table10ptHeading-ASDEFCON">
    <w:name w:val="Table 10pt Heading - ASDEFCON"/>
    <w:basedOn w:val="ASDEFCONNormal"/>
    <w:rsid w:val="00B706D6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B706D6"/>
    <w:pPr>
      <w:numPr>
        <w:numId w:val="15"/>
      </w:numPr>
    </w:pPr>
  </w:style>
  <w:style w:type="paragraph" w:customStyle="1" w:styleId="Table8ptBP2-ASDEFCON">
    <w:name w:val="Table 8pt BP2 - ASDEFCON"/>
    <w:basedOn w:val="Table8ptText-ASDEFCON"/>
    <w:rsid w:val="00B706D6"/>
    <w:pPr>
      <w:numPr>
        <w:ilvl w:val="1"/>
        <w:numId w:val="1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B706D6"/>
    <w:pPr>
      <w:numPr>
        <w:numId w:val="1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B706D6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B706D6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B706D6"/>
    <w:pPr>
      <w:numPr>
        <w:numId w:val="16"/>
      </w:numPr>
    </w:pPr>
  </w:style>
  <w:style w:type="paragraph" w:customStyle="1" w:styleId="Table10ptBP1-ASDEFCON">
    <w:name w:val="Table 10pt BP1 - ASDEFCON"/>
    <w:basedOn w:val="ASDEFCONNormal"/>
    <w:rsid w:val="00B706D6"/>
    <w:pPr>
      <w:numPr>
        <w:numId w:val="2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B706D6"/>
    <w:pPr>
      <w:numPr>
        <w:ilvl w:val="1"/>
        <w:numId w:val="2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B706D6"/>
    <w:rPr>
      <w:rFonts w:ascii="Arial" w:eastAsia="Times New Roman" w:hAnsi="Arial" w:cs="Times New Roman"/>
      <w:color w:val="000000"/>
      <w:sz w:val="20"/>
      <w:szCs w:val="40"/>
      <w:lang w:eastAsia="en-AU"/>
    </w:rPr>
  </w:style>
  <w:style w:type="paragraph" w:customStyle="1" w:styleId="GuideMarginHead-ASDEFCON">
    <w:name w:val="Guide Margin Head - ASDEFCON"/>
    <w:basedOn w:val="ASDEFCONNormal"/>
    <w:rsid w:val="00B706D6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B706D6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B706D6"/>
    <w:pPr>
      <w:numPr>
        <w:numId w:val="2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B706D6"/>
    <w:pPr>
      <w:tabs>
        <w:tab w:val="num" w:pos="3402"/>
      </w:tabs>
      <w:ind w:left="3402" w:hanging="567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B706D6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B706D6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B706D6"/>
    <w:pPr>
      <w:numPr>
        <w:numId w:val="29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B706D6"/>
    <w:pPr>
      <w:numPr>
        <w:numId w:val="19"/>
      </w:numPr>
    </w:pPr>
  </w:style>
  <w:style w:type="character" w:customStyle="1" w:styleId="ASDEFCONRecitalsCharChar">
    <w:name w:val="ASDEFCON Recitals Char Char"/>
    <w:link w:val="ASDEFCONRecitals"/>
    <w:rsid w:val="00B706D6"/>
    <w:rPr>
      <w:rFonts w:ascii="Arial" w:eastAsia="Times New Roman" w:hAnsi="Arial" w:cs="Times New Roman"/>
      <w:color w:val="000000"/>
      <w:sz w:val="20"/>
      <w:szCs w:val="40"/>
      <w:lang w:eastAsia="en-AU"/>
    </w:rPr>
  </w:style>
  <w:style w:type="paragraph" w:customStyle="1" w:styleId="NoteBullets-ASDEFCON">
    <w:name w:val="Note Bullets - ASDEFCON"/>
    <w:basedOn w:val="ASDEFCONNormal"/>
    <w:rsid w:val="00B706D6"/>
    <w:pPr>
      <w:numPr>
        <w:numId w:val="20"/>
      </w:numPr>
    </w:pPr>
    <w:rPr>
      <w:b/>
      <w:i/>
    </w:rPr>
  </w:style>
  <w:style w:type="paragraph" w:styleId="Caption">
    <w:name w:val="caption"/>
    <w:basedOn w:val="Normal"/>
    <w:next w:val="Normal"/>
    <w:qFormat/>
    <w:rsid w:val="00B706D6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B706D6"/>
    <w:pPr>
      <w:numPr>
        <w:numId w:val="2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B706D6"/>
    <w:pPr>
      <w:numPr>
        <w:ilvl w:val="1"/>
      </w:numPr>
    </w:pPr>
  </w:style>
  <w:style w:type="paragraph" w:customStyle="1" w:styleId="ATTANNReferencetoCOC">
    <w:name w:val="ATT/ANN Reference to COC"/>
    <w:basedOn w:val="ASDEFCONNormal"/>
    <w:rsid w:val="00B706D6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B706D6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B706D6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B706D6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B706D6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B706D6"/>
    <w:pPr>
      <w:numPr>
        <w:ilvl w:val="1"/>
        <w:numId w:val="25"/>
      </w:numPr>
    </w:pPr>
  </w:style>
  <w:style w:type="character" w:styleId="Hyperlink">
    <w:name w:val="Hyperlink"/>
    <w:uiPriority w:val="99"/>
    <w:unhideWhenUsed/>
    <w:rsid w:val="00B706D6"/>
    <w:rPr>
      <w:color w:val="0000FF"/>
      <w:u w:val="single"/>
    </w:rPr>
  </w:style>
  <w:style w:type="paragraph" w:styleId="TOC1">
    <w:name w:val="toc 1"/>
    <w:next w:val="ASDEFCONNormal"/>
    <w:autoRedefine/>
    <w:uiPriority w:val="39"/>
    <w:rsid w:val="00B706D6"/>
    <w:pPr>
      <w:tabs>
        <w:tab w:val="right" w:leader="dot" w:pos="9016"/>
      </w:tabs>
      <w:spacing w:before="120" w:after="60" w:line="240" w:lineRule="auto"/>
      <w:ind w:left="567" w:hanging="567"/>
    </w:pPr>
    <w:rPr>
      <w:rFonts w:ascii="Arial" w:eastAsia="Times New Roman" w:hAnsi="Arial" w:cs="Arial"/>
      <w:b/>
      <w:noProof/>
      <w:sz w:val="20"/>
      <w:szCs w:val="24"/>
      <w:lang w:eastAsia="en-AU"/>
    </w:rPr>
  </w:style>
  <w:style w:type="paragraph" w:styleId="TOC2">
    <w:name w:val="toc 2"/>
    <w:next w:val="ASDEFCONNormal"/>
    <w:autoRedefine/>
    <w:uiPriority w:val="39"/>
    <w:rsid w:val="00B706D6"/>
    <w:pPr>
      <w:spacing w:after="60" w:line="240" w:lineRule="auto"/>
      <w:ind w:left="1417" w:hanging="850"/>
    </w:pPr>
    <w:rPr>
      <w:rFonts w:ascii="Arial" w:eastAsia="Times New Roman" w:hAnsi="Arial" w:cs="Arial"/>
      <w:sz w:val="20"/>
      <w:szCs w:val="24"/>
      <w:lang w:eastAsia="en-AU"/>
    </w:rPr>
  </w:style>
  <w:style w:type="paragraph" w:styleId="TOC3">
    <w:name w:val="toc 3"/>
    <w:basedOn w:val="Normal"/>
    <w:next w:val="Normal"/>
    <w:autoRedefine/>
    <w:rsid w:val="00B706D6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B706D6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B706D6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B706D6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B706D6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B706D6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B706D6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B706D6"/>
    <w:pPr>
      <w:numPr>
        <w:numId w:val="34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7D1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D1C"/>
    <w:rPr>
      <w:rFonts w:ascii="Segoe UI" w:eastAsia="Times New Roman" w:hAnsi="Segoe UI" w:cs="Segoe UI"/>
      <w:sz w:val="18"/>
      <w:szCs w:val="18"/>
      <w:lang w:eastAsia="en-AU"/>
    </w:rPr>
  </w:style>
  <w:style w:type="character" w:customStyle="1" w:styleId="Heading3Char">
    <w:name w:val="Heading 3 Char"/>
    <w:aliases w:val="Para3 Char,head3hdbk Char,H3 Char,C Sub-Sub/Italic Char,h3 sub heading Char,Head 3 Char,Head 31 Char,Head 32 Char,C Sub-Sub/Italic1 Char,3 Char,Sub2Para Char,(1) Char,Major Sections Char,subsub Char,Para 3 Char,h3 Char"/>
    <w:basedOn w:val="DefaultParagraphFont"/>
    <w:link w:val="Heading3"/>
    <w:rsid w:val="00607D1C"/>
    <w:rPr>
      <w:rFonts w:ascii="Times New Roman" w:eastAsia="Times New Roman" w:hAnsi="Times New Roman" w:cs="Times New Roman"/>
      <w:b/>
      <w:bCs/>
      <w:sz w:val="20"/>
      <w:szCs w:val="24"/>
      <w:lang w:eastAsia="en-AU"/>
    </w:rPr>
  </w:style>
  <w:style w:type="character" w:customStyle="1" w:styleId="Heading4Char">
    <w:name w:val="Heading 4 Char"/>
    <w:aliases w:val="Para4 Char,headhbk Char,(a) Char,h4 Char"/>
    <w:basedOn w:val="DefaultParagraphFont"/>
    <w:link w:val="Heading4"/>
    <w:rsid w:val="00607D1C"/>
    <w:rPr>
      <w:rFonts w:ascii="Times New Roman" w:eastAsia="Times New Roman" w:hAnsi="Times New Roman" w:cs="Times New Roman"/>
      <w:b/>
      <w:bCs/>
      <w:iCs/>
      <w:sz w:val="20"/>
      <w:szCs w:val="24"/>
      <w:lang w:eastAsia="en-AU"/>
    </w:rPr>
  </w:style>
  <w:style w:type="character" w:customStyle="1" w:styleId="Heading5Char">
    <w:name w:val="Heading 5 Char"/>
    <w:aliases w:val="Para5 Char,i. Char,H Char,subsubpara Char,1.1.1.1.1 Char"/>
    <w:basedOn w:val="DefaultParagraphFont"/>
    <w:link w:val="Heading5"/>
    <w:rsid w:val="00607D1C"/>
    <w:rPr>
      <w:rFonts w:ascii="Arial" w:eastAsia="Times New Roman" w:hAnsi="Arial" w:cs="Times New Roman"/>
      <w:b/>
      <w:bCs/>
      <w:iCs/>
      <w:sz w:val="20"/>
      <w:szCs w:val="26"/>
      <w:lang w:eastAsia="en-AU"/>
    </w:rPr>
  </w:style>
  <w:style w:type="character" w:customStyle="1" w:styleId="Heading6Char">
    <w:name w:val="Heading 6 Char"/>
    <w:aliases w:val="sub-dash Char,sd Char,5 Char,Spare2 Char"/>
    <w:basedOn w:val="DefaultParagraphFont"/>
    <w:link w:val="Heading6"/>
    <w:rsid w:val="00607D1C"/>
    <w:rPr>
      <w:rFonts w:ascii="Times New Roman" w:eastAsia="Times New Roman" w:hAnsi="Times New Roman" w:cs="Times New Roman"/>
      <w:b/>
      <w:bCs/>
      <w:szCs w:val="24"/>
      <w:lang w:eastAsia="en-AU"/>
    </w:rPr>
  </w:style>
  <w:style w:type="character" w:customStyle="1" w:styleId="Heading7Char">
    <w:name w:val="Heading 7 Char"/>
    <w:aliases w:val="Spare3 Char,h7 Char,H7 Char,Legal Level 1.1. Char,7 Char,Response Alpha Char,Response Numeral Char,Heading 7 Char1 Char1 Char,Heading 7 Char Char Char1 Char,Heading 7 Char1 Char1 Char Char Char1 Char"/>
    <w:basedOn w:val="DefaultParagraphFont"/>
    <w:link w:val="Heading7"/>
    <w:rsid w:val="00607D1C"/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eading8Char">
    <w:name w:val="Heading 8 Char"/>
    <w:aliases w:val="Spare4 Char"/>
    <w:basedOn w:val="DefaultParagraphFont"/>
    <w:link w:val="Heading8"/>
    <w:rsid w:val="00607D1C"/>
    <w:rPr>
      <w:rFonts w:ascii="Times New Roman" w:eastAsia="Times New Roman" w:hAnsi="Times New Roman" w:cs="Times New Roman"/>
      <w:i/>
      <w:iCs/>
      <w:sz w:val="24"/>
      <w:szCs w:val="24"/>
      <w:lang w:eastAsia="en-AU"/>
    </w:rPr>
  </w:style>
  <w:style w:type="character" w:customStyle="1" w:styleId="Heading9Char">
    <w:name w:val="Heading 9 Char"/>
    <w:aliases w:val="Spare5 Char"/>
    <w:basedOn w:val="DefaultParagraphFont"/>
    <w:link w:val="Heading9"/>
    <w:rsid w:val="00607D1C"/>
    <w:rPr>
      <w:rFonts w:ascii="Arial" w:eastAsia="Times New Roman" w:hAnsi="Arial" w:cs="Arial"/>
      <w:szCs w:val="24"/>
      <w:lang w:eastAsia="en-AU"/>
    </w:rPr>
  </w:style>
  <w:style w:type="character" w:styleId="CommentReference">
    <w:name w:val="annotation reference"/>
    <w:semiHidden/>
    <w:rsid w:val="00607D1C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607D1C"/>
    <w:rPr>
      <w:sz w:val="22"/>
      <w:szCs w:val="20"/>
    </w:rPr>
  </w:style>
  <w:style w:type="character" w:customStyle="1" w:styleId="CommentTextChar">
    <w:name w:val="Comment Text Char"/>
    <w:basedOn w:val="DefaultParagraphFont"/>
    <w:uiPriority w:val="99"/>
    <w:semiHidden/>
    <w:rsid w:val="00607D1C"/>
    <w:rPr>
      <w:rFonts w:ascii="Arial" w:eastAsia="Times New Roman" w:hAnsi="Arial" w:cs="Times New Roman"/>
      <w:sz w:val="20"/>
      <w:szCs w:val="20"/>
      <w:lang w:eastAsia="en-AU"/>
    </w:rPr>
  </w:style>
  <w:style w:type="character" w:customStyle="1" w:styleId="CommentTextChar1">
    <w:name w:val="Comment Text Char1"/>
    <w:link w:val="CommentText"/>
    <w:semiHidden/>
    <w:locked/>
    <w:rsid w:val="00607D1C"/>
    <w:rPr>
      <w:rFonts w:ascii="Arial" w:eastAsia="Times New Roman" w:hAnsi="Arial" w:cs="Times New Roman"/>
      <w:szCs w:val="2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B706D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706D6"/>
    <w:rPr>
      <w:rFonts w:ascii="Arial" w:eastAsia="Times New Roman" w:hAnsi="Arial" w:cs="Times New Roman"/>
      <w:sz w:val="20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706D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706D6"/>
    <w:rPr>
      <w:rFonts w:ascii="Arial" w:eastAsia="Times New Roman" w:hAnsi="Arial" w:cs="Times New Roman"/>
      <w:sz w:val="20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228</TotalTime>
  <Pages>2</Pages>
  <Words>858</Words>
  <Characters>4466</Characters>
  <Application>Microsoft Office Word</Application>
  <DocSecurity>0</DocSecurity>
  <Lines>111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Defence</Company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DAE-</dc:creator>
  <cp:keywords/>
  <dc:description/>
  <cp:lastModifiedBy>Christian Uhrenfeldt</cp:lastModifiedBy>
  <cp:revision>5</cp:revision>
  <dcterms:created xsi:type="dcterms:W3CDTF">2021-09-21T05:44:00Z</dcterms:created>
  <dcterms:modified xsi:type="dcterms:W3CDTF">2021-09-22T03:21:00Z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OFFICIAL</vt:lpwstr>
  </property>
  <property fmtid="{D5CDD505-2E9C-101B-9397-08002B2CF9AE}" pid="3" name="Version">
    <vt:lpwstr>V5.0</vt:lpwstr>
  </property>
  <property fmtid="{D5CDD505-2E9C-101B-9397-08002B2CF9AE}" pid="4" name="Header_Left">
    <vt:lpwstr>ASDEFCON (Support)</vt:lpwstr>
  </property>
  <property fmtid="{D5CDD505-2E9C-101B-9397-08002B2CF9AE}" pid="5" name="Header_Right">
    <vt:lpwstr>PART 2</vt:lpwstr>
  </property>
  <property fmtid="{D5CDD505-2E9C-101B-9397-08002B2CF9AE}" pid="6" name="Footer_Left">
    <vt:lpwstr>Attachment to Draft Conditions of Contract</vt:lpwstr>
  </property>
  <property fmtid="{D5CDD505-2E9C-101B-9397-08002B2CF9AE}" pid="7" name="Objective-Id">
    <vt:lpwstr>BM32606942</vt:lpwstr>
  </property>
  <property fmtid="{D5CDD505-2E9C-101B-9397-08002B2CF9AE}" pid="8" name="Objective-Title">
    <vt:lpwstr>018_SPTV5.0_ATTB_ANNB_Recurring_Services</vt:lpwstr>
  </property>
  <property fmtid="{D5CDD505-2E9C-101B-9397-08002B2CF9AE}" pid="9" name="Objective-Comment">
    <vt:lpwstr/>
  </property>
  <property fmtid="{D5CDD505-2E9C-101B-9397-08002B2CF9AE}" pid="10" name="Objective-CreationStamp">
    <vt:filetime>2021-09-21T05:56:36Z</vt:filetime>
  </property>
  <property fmtid="{D5CDD505-2E9C-101B-9397-08002B2CF9AE}" pid="11" name="Objective-IsApproved">
    <vt:bool>false</vt:bool>
  </property>
  <property fmtid="{D5CDD505-2E9C-101B-9397-08002B2CF9AE}" pid="12" name="Objective-IsPublished">
    <vt:bool>false</vt:bool>
  </property>
  <property fmtid="{D5CDD505-2E9C-101B-9397-08002B2CF9AE}" pid="13" name="Objective-DatePublished">
    <vt:lpwstr/>
  </property>
  <property fmtid="{D5CDD505-2E9C-101B-9397-08002B2CF9AE}" pid="14" name="Objective-ModificationStamp">
    <vt:filetime>2021-10-01T00:12:12Z</vt:filetime>
  </property>
  <property fmtid="{D5CDD505-2E9C-101B-9397-08002B2CF9AE}" pid="15" name="Objective-Owner">
    <vt:lpwstr>Edgelow, Dave Mr</vt:lpwstr>
  </property>
  <property fmtid="{D5CDD505-2E9C-101B-9397-08002B2CF9AE}" pid="16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 Directorate:01 ASDEFCON Master Templates:04 ASDEFCON (Support):ASDEFCON (Support) Version 5.0 - (Commercial) 2021 - Commercial Policy Practice (CPP):02 Working:04 Attachments to the Conditions of Contract:</vt:lpwstr>
  </property>
  <property fmtid="{D5CDD505-2E9C-101B-9397-08002B2CF9AE}" pid="17" name="Objective-Parent">
    <vt:lpwstr>04 Attachments to the Conditions of Contract</vt:lpwstr>
  </property>
  <property fmtid="{D5CDD505-2E9C-101B-9397-08002B2CF9AE}" pid="18" name="Objective-State">
    <vt:lpwstr>Being Edited</vt:lpwstr>
  </property>
  <property fmtid="{D5CDD505-2E9C-101B-9397-08002B2CF9AE}" pid="19" name="Objective-Version">
    <vt:lpwstr>0.4</vt:lpwstr>
  </property>
  <property fmtid="{D5CDD505-2E9C-101B-9397-08002B2CF9AE}" pid="20" name="Objective-VersionNumber">
    <vt:i4>4</vt:i4>
  </property>
  <property fmtid="{D5CDD505-2E9C-101B-9397-08002B2CF9AE}" pid="21" name="Objective-VersionComment">
    <vt:lpwstr/>
  </property>
  <property fmtid="{D5CDD505-2E9C-101B-9397-08002B2CF9AE}" pid="22" name="Objective-FileNumber">
    <vt:lpwstr/>
  </property>
  <property fmtid="{D5CDD505-2E9C-101B-9397-08002B2CF9AE}" pid="23" name="Objective-Classification">
    <vt:lpwstr>Official</vt:lpwstr>
  </property>
  <property fmtid="{D5CDD505-2E9C-101B-9397-08002B2CF9AE}" pid="24" name="Objective-Caveats">
    <vt:lpwstr/>
  </property>
  <property fmtid="{D5CDD505-2E9C-101B-9397-08002B2CF9AE}" pid="25" name="Objective-Document Type [system]">
    <vt:lpwstr/>
  </property>
</Properties>
</file>