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FBD956" w14:textId="3E9A255A" w:rsidR="00FF7A51" w:rsidRDefault="00FF7A51" w:rsidP="00CE3611">
      <w:pPr>
        <w:pStyle w:val="ASDEFCONTitle"/>
      </w:pPr>
      <w:bookmarkStart w:id="0" w:name="_GoBack"/>
      <w:bookmarkEnd w:id="0"/>
      <w:r w:rsidRPr="00FF7A51">
        <w:t>TECHNICAL DATA AND SOFTWARE RIGHTS (TDSR) SCHEDULE</w:t>
      </w:r>
      <w:r w:rsidR="00F90F8D">
        <w:t xml:space="preserve"> (CORE)</w:t>
      </w:r>
    </w:p>
    <w:p w14:paraId="14CDBC6B" w14:textId="77777777" w:rsidR="00FF7A51" w:rsidRDefault="00FF7A51" w:rsidP="00CE3611">
      <w:pPr>
        <w:pStyle w:val="NoteToDrafters-ASDEFCON"/>
      </w:pPr>
      <w:r>
        <w:t>Note to drafters:  Prior to RFT release drafters are to:</w:t>
      </w:r>
    </w:p>
    <w:p w14:paraId="33C2183C" w14:textId="77777777" w:rsidR="00FF7A51" w:rsidRDefault="00FF7A51" w:rsidP="00CE3611">
      <w:pPr>
        <w:pStyle w:val="NoteToDraftersList-ASDEFCON"/>
      </w:pPr>
      <w:r>
        <w:t xml:space="preserve">identify in TDR C-5 or as a note to tenderers in the TDSR Schedule, for items or equipment (at a product, system, subsystem or component level) likely to be included in the Services, where potential restrictions on the Commonwealth's Use or Sublicensing of the related TD and Software will not be acceptable; and </w:t>
      </w:r>
    </w:p>
    <w:p w14:paraId="38287496" w14:textId="77777777" w:rsidR="00FF7A51" w:rsidRDefault="00FF7A51" w:rsidP="00CE3611">
      <w:pPr>
        <w:pStyle w:val="NoteToDraftersList-ASDEFCON"/>
      </w:pPr>
      <w:proofErr w:type="gramStart"/>
      <w:r>
        <w:t>determine</w:t>
      </w:r>
      <w:proofErr w:type="gramEnd"/>
      <w:r>
        <w:t xml:space="preserve"> and specify if the Commonwealth requires ownership of IP in any new TD and Software that will be created under the Contract (i.e. Commonwealth TD and Commonwealth Software).</w:t>
      </w:r>
    </w:p>
    <w:p w14:paraId="030D8094" w14:textId="08C192F0" w:rsidR="00FF7A51" w:rsidRDefault="00FF7A51" w:rsidP="00CE3611">
      <w:pPr>
        <w:pStyle w:val="NoteToDrafters-ASDEFCON"/>
      </w:pPr>
      <w:r>
        <w:t xml:space="preserve">The examples in each annex are to be removed prior to RFT release and system-specific information must be inserted where necessary.  The Commonwealth should have conducted a Technical Data Requirements Analysis (TDRA) for the acquisition of the Materiel System – this may be updated when preparing a draft Support Contract.  Information regarding the conduct of a Commonwealth TDRA can be found in </w:t>
      </w:r>
      <w:r w:rsidR="00AD1EB1" w:rsidRPr="000007BE">
        <w:t>DMH (ENG) 12-2-003 Technical Data Management Handbook</w:t>
      </w:r>
      <w:r>
        <w:t xml:space="preserve">. </w:t>
      </w:r>
    </w:p>
    <w:p w14:paraId="380A5853" w14:textId="11142724" w:rsidR="00FF7A51" w:rsidRDefault="00FF7A51" w:rsidP="00CE3611">
      <w:pPr>
        <w:pStyle w:val="NoteToDrafters-ASDEFCON"/>
      </w:pPr>
      <w:r>
        <w:t xml:space="preserve">Further information on clause 5 of the draft COC and the TDSR Schedule can be found in the ASDEFCON TD / IP Commercial Handbook at: </w:t>
      </w:r>
      <w:hyperlink r:id="rId7" w:history="1">
        <w:r w:rsidR="00AD1EB1">
          <w:rPr>
            <w:rStyle w:val="Hyperlink"/>
          </w:rPr>
          <w:t>http://drnet.defence.gov.au/casg/commercial/CommercialPolicyFramework/Pages/Handbooks.aspx</w:t>
        </w:r>
      </w:hyperlink>
      <w:r>
        <w:t>.</w:t>
      </w:r>
    </w:p>
    <w:p w14:paraId="7FEB4895" w14:textId="77777777" w:rsidR="00FF7A51" w:rsidRDefault="00FF7A51" w:rsidP="00CE3611">
      <w:pPr>
        <w:pStyle w:val="NoteToTenderers-ASDEFCON"/>
      </w:pPr>
      <w:r>
        <w:t xml:space="preserve">Note to tenderers:  Attachment G and its annexes define any restrictions on the TD and Software rights granted under the Contract and provide additional information for the purposes of the TD and Software provisions in the Contract.  Attachment G does not define restrictions on GFM or Products Being Supported. </w:t>
      </w:r>
    </w:p>
    <w:p w14:paraId="004C8A92" w14:textId="77777777" w:rsidR="00FF7A51" w:rsidRDefault="00FF7A51">
      <w:pPr>
        <w:pStyle w:val="NoteToTenderers-ASDEFCON"/>
      </w:pPr>
      <w:r>
        <w:t xml:space="preserve">Attachment G and its annexes will consist of an amalgamation of information contained in this draft Attachment G, the successful tenderer's response to TDR C-5 and any negotiated adjustments. </w:t>
      </w:r>
    </w:p>
    <w:p w14:paraId="136CC20F" w14:textId="77777777" w:rsidR="00FF7A51" w:rsidRDefault="00FF7A51" w:rsidP="00CE3611">
      <w:pPr>
        <w:pStyle w:val="ATTANNLV2-ASDEFCON"/>
      </w:pPr>
      <w:r>
        <w:t>Attachment G consists of the following Annexes:</w:t>
      </w:r>
    </w:p>
    <w:p w14:paraId="4E5D63B6" w14:textId="77777777" w:rsidR="00FF7A51" w:rsidRDefault="00FF7A51" w:rsidP="00CE3611">
      <w:pPr>
        <w:pStyle w:val="ATTANNLV3-ASDEFCON"/>
      </w:pPr>
      <w:r>
        <w:t xml:space="preserve">Annex A – Highly Sensitive TD and Highly Sensitive Software (Core); </w:t>
      </w:r>
    </w:p>
    <w:p w14:paraId="6FC7100B" w14:textId="77777777" w:rsidR="00FF7A51" w:rsidRDefault="00FF7A51" w:rsidP="00CE3611">
      <w:pPr>
        <w:pStyle w:val="ATTANNLV3-ASDEFCON"/>
      </w:pPr>
      <w:r>
        <w:t xml:space="preserve">Annex B – Delivery and Licence Restrictions on Use of TD and Software (Core); </w:t>
      </w:r>
    </w:p>
    <w:p w14:paraId="42BF5AA0" w14:textId="77777777" w:rsidR="00FF7A51" w:rsidRDefault="00FF7A51" w:rsidP="00CE3611">
      <w:pPr>
        <w:pStyle w:val="ATTANNLV3-ASDEFCON"/>
      </w:pPr>
      <w:r>
        <w:t>Annex C – Key Commercial Items (Core);</w:t>
      </w:r>
    </w:p>
    <w:p w14:paraId="420483DE" w14:textId="77777777" w:rsidR="00FF7A51" w:rsidRDefault="00FF7A51" w:rsidP="00CE3611">
      <w:pPr>
        <w:pStyle w:val="ATTANNLV3-ASDEFCON"/>
      </w:pPr>
      <w:r>
        <w:t xml:space="preserve">Annex D – Commonwealth TD and Commonwealth Software (Core); </w:t>
      </w:r>
    </w:p>
    <w:p w14:paraId="4243AA06" w14:textId="77777777" w:rsidR="00FF7A51" w:rsidRDefault="00FF7A51" w:rsidP="00CE3611">
      <w:pPr>
        <w:pStyle w:val="ATTANNLV3-ASDEFCON"/>
      </w:pPr>
      <w:r>
        <w:t>Annex E – Excluded Parties (Core); and</w:t>
      </w:r>
    </w:p>
    <w:p w14:paraId="38DE81DF" w14:textId="77777777" w:rsidR="00FF7A51" w:rsidRDefault="00FF7A51" w:rsidP="00CE3611">
      <w:pPr>
        <w:pStyle w:val="ATTANNLV3-ASDEFCON"/>
      </w:pPr>
      <w:r>
        <w:t>Annex F – Patents, Registrable Designs and Circuit Layouts (Core).</w:t>
      </w:r>
    </w:p>
    <w:p w14:paraId="4B290BBF" w14:textId="77777777" w:rsidR="00FF7A51" w:rsidRDefault="00FF7A51" w:rsidP="00FF7A51">
      <w:pPr>
        <w:pStyle w:val="ASDEFCONNormal"/>
        <w:sectPr w:rsidR="00FF7A51" w:rsidSect="00C63F35">
          <w:headerReference w:type="default" r:id="rId8"/>
          <w:footerReference w:type="default" r:id="rId9"/>
          <w:pgSz w:w="16840" w:h="11907" w:orient="landscape" w:code="9"/>
          <w:pgMar w:top="1418" w:right="1304" w:bottom="1418" w:left="907" w:header="567" w:footer="283" w:gutter="0"/>
          <w:paperSrc w:first="257" w:other="257"/>
          <w:pgNumType w:start="1"/>
          <w:cols w:space="720"/>
          <w:docGrid w:linePitch="272"/>
        </w:sectPr>
      </w:pPr>
    </w:p>
    <w:p w14:paraId="00B48006" w14:textId="77777777" w:rsidR="00FF7A51" w:rsidRDefault="00FF7A51" w:rsidP="00CE3611">
      <w:pPr>
        <w:pStyle w:val="ASDEFCONTitle"/>
      </w:pPr>
      <w:r w:rsidRPr="00FF7A51">
        <w:lastRenderedPageBreak/>
        <w:t>ANNEX A – HIGHLY SENSITIVE TD AND HIGHLY SENSITIVE SOFTWARE (CORE)</w:t>
      </w:r>
    </w:p>
    <w:p w14:paraId="27A00D4B" w14:textId="77777777" w:rsidR="00FF7A51" w:rsidRDefault="00FF7A51" w:rsidP="00CE3611">
      <w:pPr>
        <w:pStyle w:val="NoteToDrafters-ASDEFCON"/>
      </w:pPr>
      <w:r>
        <w:t>Note to drafters:  Highly Sensitive TD and Highly Sensitive Software are described in the note to tenderers below.  Highly Sensitive TD and Highly Sensitive Software may:</w:t>
      </w:r>
    </w:p>
    <w:p w14:paraId="422AC90B" w14:textId="77777777" w:rsidR="00FF7A51" w:rsidRDefault="00FF7A51" w:rsidP="00CE3611">
      <w:pPr>
        <w:pStyle w:val="NoteToDraftersList-ASDEFCON"/>
        <w:numPr>
          <w:ilvl w:val="0"/>
          <w:numId w:val="37"/>
        </w:numPr>
      </w:pPr>
      <w:r>
        <w:t xml:space="preserve">exist as at the Effective Date (e.g. the tenderer is licenced by an OEM for TD or Software that was not delivered to the Commonwealth during the acquisition); or </w:t>
      </w:r>
    </w:p>
    <w:p w14:paraId="7E6F8552" w14:textId="77777777" w:rsidR="00FF7A51" w:rsidRDefault="00FF7A51" w:rsidP="00CE3611">
      <w:pPr>
        <w:pStyle w:val="NoteToDraftersList-ASDEFCON"/>
      </w:pPr>
      <w:proofErr w:type="gramStart"/>
      <w:r>
        <w:t>be</w:t>
      </w:r>
      <w:proofErr w:type="gramEnd"/>
      <w:r>
        <w:t xml:space="preserve"> introduced during the course of the Contract (e.g. when a modification under an S&amp;Q Order introduces new equipment).  </w:t>
      </w:r>
    </w:p>
    <w:p w14:paraId="175A868A" w14:textId="77777777" w:rsidR="00FF7A51" w:rsidRDefault="00FF7A51" w:rsidP="00CE3611">
      <w:pPr>
        <w:pStyle w:val="NoteToDrafters-ASDEFCON"/>
      </w:pPr>
      <w:r>
        <w:t>By permitting the inclusion of TD or Software in this Annex A, the Commonwealth's Use of or ability to Sublicense IP may be severely restricted, as described in clause 5.2 of the draft COCs.  The Commonwealth must carefully consider the remaining Life of Type for the Capability or Products Being Supported (including any impacts on related and future contracts) before agreeing to any restrictions in this Annex A.</w:t>
      </w:r>
    </w:p>
    <w:p w14:paraId="06E81768" w14:textId="77777777" w:rsidR="00FF7A51" w:rsidRDefault="00FF7A51" w:rsidP="00CE3611">
      <w:pPr>
        <w:pStyle w:val="NoteToTenderers-ASDEFCON"/>
      </w:pPr>
      <w:r>
        <w:t>Note to tenderers:  Highly Sensitive TD and Highly Sensitive Software listed in Annex A should only include TD or Software that the tenderer would bring to the Contract (</w:t>
      </w:r>
      <w:proofErr w:type="spellStart"/>
      <w:r>
        <w:t>eg</w:t>
      </w:r>
      <w:proofErr w:type="spellEnd"/>
      <w:r>
        <w:t xml:space="preserve">, not already licenced to the Commonwealth), where disclosure would have a major adverse effect on the business of the tenderer (or proposed Approved Subcontractor) and its commercial advantage.  </w:t>
      </w:r>
    </w:p>
    <w:p w14:paraId="10D697E6" w14:textId="77777777" w:rsidR="00FF7A51" w:rsidRDefault="00FF7A51" w:rsidP="00CE3611">
      <w:pPr>
        <w:pStyle w:val="NoteToTenderers-ASDEFCON"/>
      </w:pPr>
      <w:r>
        <w:t>Highly Sensitive TD and Highly Sensitive Software should be clearly identified at its lowest Configuration Item (to which the restriction is able to be distinguished) and linked to the tendered draft TDL, as appropriate.  Highly Sensitive TD and Highly Sensitive Software will generally already exist as at the Effective Date and will not include TD or Software created under the Contract or a Subcontract.  This Annex A is to:</w:t>
      </w:r>
    </w:p>
    <w:p w14:paraId="138DFEFD" w14:textId="77777777" w:rsidR="00FF7A51" w:rsidRDefault="00FF7A51" w:rsidP="00CE3611">
      <w:pPr>
        <w:pStyle w:val="NoteToTenderersList-ASDEFCON"/>
      </w:pPr>
      <w:r>
        <w:t xml:space="preserve">list and describe all items of Highly Sensitive TD and Highly Sensitive Software (columns d and e); </w:t>
      </w:r>
    </w:p>
    <w:p w14:paraId="497BFEBC" w14:textId="77777777" w:rsidR="00FF7A51" w:rsidRDefault="00FF7A51" w:rsidP="00CE3611">
      <w:pPr>
        <w:pStyle w:val="NoteToTenderersList-ASDEFCON"/>
      </w:pPr>
      <w:r>
        <w:t>identify any restrictions on the Commonwealth’s rights to Use and Sublicense the listed TD or Software, as contemplated by clause 5.2 of the draft COC (column f); and</w:t>
      </w:r>
    </w:p>
    <w:p w14:paraId="34E84F6F" w14:textId="77777777" w:rsidR="00FF7A51" w:rsidRDefault="00FF7A51" w:rsidP="00CE3611">
      <w:pPr>
        <w:pStyle w:val="NoteToTenderersList-ASDEFCON"/>
      </w:pPr>
      <w:proofErr w:type="gramStart"/>
      <w:r>
        <w:t>specify</w:t>
      </w:r>
      <w:proofErr w:type="gramEnd"/>
      <w:r>
        <w:t xml:space="preserve"> the reasons in support of categorising the TD or Software as Highly Sensitive TD or Highly Sensitive Software and the restrictions being proposed (column g).</w:t>
      </w:r>
    </w:p>
    <w:p w14:paraId="4F3C26B2" w14:textId="77777777" w:rsidR="00FF7A51" w:rsidRDefault="00FF7A51">
      <w:pPr>
        <w:pStyle w:val="NoteToTenderers-ASDEFCON"/>
      </w:pPr>
      <w:r>
        <w:t xml:space="preserve">Restrictions on the Commonwealth's right to grant a </w:t>
      </w:r>
      <w:proofErr w:type="spellStart"/>
      <w:r>
        <w:t>Sublicence</w:t>
      </w:r>
      <w:proofErr w:type="spellEnd"/>
      <w:r>
        <w:t xml:space="preserve"> in respect of TD or Software should not be included in this Annex A if the restriction only limits the grant of a </w:t>
      </w:r>
      <w:proofErr w:type="spellStart"/>
      <w:r>
        <w:t>Sublicence</w:t>
      </w:r>
      <w:proofErr w:type="spellEnd"/>
      <w:r>
        <w:t xml:space="preserve"> for "other Defence Purposes".  These restrictions should be included in Annex B only.</w:t>
      </w:r>
    </w:p>
    <w:p w14:paraId="51A55E8B" w14:textId="77777777" w:rsidR="00FF7A51" w:rsidRDefault="00FF7A51" w:rsidP="00FF7A51">
      <w:pPr>
        <w:pStyle w:val="ASDEFCONNormal"/>
        <w:sectPr w:rsidR="00FF7A51" w:rsidSect="00C63F35">
          <w:footerReference w:type="default" r:id="rId10"/>
          <w:pgSz w:w="16840" w:h="11907" w:orient="landscape" w:code="9"/>
          <w:pgMar w:top="1418" w:right="1304" w:bottom="1418" w:left="907" w:header="567" w:footer="283" w:gutter="0"/>
          <w:paperSrc w:first="257" w:other="257"/>
          <w:pgNumType w:start="1"/>
          <w:cols w:space="720"/>
          <w:docGrid w:linePitch="272"/>
        </w:sect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331"/>
        <w:gridCol w:w="1478"/>
        <w:gridCol w:w="1623"/>
        <w:gridCol w:w="1623"/>
        <w:gridCol w:w="1623"/>
        <w:gridCol w:w="3102"/>
        <w:gridCol w:w="3839"/>
      </w:tblGrid>
      <w:tr w:rsidR="00CE3611" w14:paraId="06AA74E2" w14:textId="77777777" w:rsidTr="00CE3611">
        <w:trPr>
          <w:trHeight w:val="467"/>
        </w:trPr>
        <w:tc>
          <w:tcPr>
            <w:tcW w:w="455" w:type="pct"/>
            <w:tcBorders>
              <w:top w:val="single" w:sz="4" w:space="0" w:color="auto"/>
              <w:left w:val="single" w:sz="4" w:space="0" w:color="auto"/>
              <w:bottom w:val="single" w:sz="4" w:space="0" w:color="auto"/>
              <w:right w:val="single" w:sz="6" w:space="0" w:color="auto"/>
            </w:tcBorders>
            <w:shd w:val="clear" w:color="auto" w:fill="BFBFBF" w:themeFill="background1" w:themeFillShade="BF"/>
          </w:tcPr>
          <w:p w14:paraId="5028D934" w14:textId="77777777" w:rsidR="00FF7A51" w:rsidRPr="00CE3611" w:rsidRDefault="00FF7A51" w:rsidP="00CE3611">
            <w:pPr>
              <w:pStyle w:val="Table10ptHeading-ASDEFCON"/>
              <w:rPr>
                <w:rFonts w:eastAsia="Calibri"/>
              </w:rPr>
            </w:pPr>
            <w:r w:rsidRPr="00CE3611">
              <w:t>Unique Line Item Description</w:t>
            </w:r>
          </w:p>
        </w:tc>
        <w:tc>
          <w:tcPr>
            <w:tcW w:w="505"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4A219082" w14:textId="77777777" w:rsidR="00FF7A51" w:rsidRPr="00CE3611" w:rsidRDefault="00FF7A51" w:rsidP="00CE3611">
            <w:pPr>
              <w:pStyle w:val="Table10ptHeading-ASDEFCON"/>
              <w:rPr>
                <w:rFonts w:eastAsia="Calibri"/>
              </w:rPr>
            </w:pPr>
            <w:r w:rsidRPr="00CE3611">
              <w:t>Item Reference within TDL</w:t>
            </w:r>
          </w:p>
        </w:tc>
        <w:tc>
          <w:tcPr>
            <w:tcW w:w="555"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04B1A54B" w14:textId="77777777" w:rsidR="00FF7A51" w:rsidRPr="00CE3611" w:rsidRDefault="00FF7A51" w:rsidP="00CE3611">
            <w:pPr>
              <w:pStyle w:val="Table10ptHeading-ASDEFCON"/>
              <w:rPr>
                <w:rFonts w:eastAsia="Calibri"/>
              </w:rPr>
            </w:pPr>
            <w:r w:rsidRPr="00CE3611">
              <w:t>Owner or Licensor</w:t>
            </w:r>
          </w:p>
        </w:tc>
        <w:tc>
          <w:tcPr>
            <w:tcW w:w="555"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2E1EEE76" w14:textId="77777777" w:rsidR="00FF7A51" w:rsidRPr="00CE3611" w:rsidRDefault="00FF7A51" w:rsidP="00CE3611">
            <w:pPr>
              <w:pStyle w:val="Table10ptHeading-ASDEFCON"/>
              <w:rPr>
                <w:rFonts w:eastAsia="Calibri"/>
              </w:rPr>
            </w:pPr>
            <w:r w:rsidRPr="00CE3611">
              <w:t>System/</w:t>
            </w:r>
            <w:r w:rsidRPr="00CE3611">
              <w:br/>
              <w:t>Subsystem/ Component/CI Name</w:t>
            </w:r>
          </w:p>
        </w:tc>
        <w:tc>
          <w:tcPr>
            <w:tcW w:w="555"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73AEF1E4" w14:textId="77777777" w:rsidR="00FF7A51" w:rsidRPr="00CE3611" w:rsidRDefault="00FF7A51" w:rsidP="00CE3611">
            <w:pPr>
              <w:pStyle w:val="Table10ptHeading-ASDEFCON"/>
              <w:rPr>
                <w:rFonts w:eastAsia="Calibri"/>
              </w:rPr>
            </w:pPr>
            <w:r w:rsidRPr="00CE3611">
              <w:t>Description of TD or Software</w:t>
            </w:r>
          </w:p>
          <w:p w14:paraId="1982AD8B" w14:textId="77777777" w:rsidR="00FF7A51" w:rsidRPr="00CE3611" w:rsidRDefault="00FF7A51" w:rsidP="00CE3611">
            <w:pPr>
              <w:pStyle w:val="Table10ptHeading-ASDEFCON"/>
              <w:rPr>
                <w:rFonts w:eastAsia="Calibri"/>
              </w:rPr>
            </w:pPr>
          </w:p>
        </w:tc>
        <w:tc>
          <w:tcPr>
            <w:tcW w:w="1061"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45486EC2" w14:textId="77777777" w:rsidR="00FF7A51" w:rsidRPr="00CE3611" w:rsidRDefault="00FF7A51" w:rsidP="00CE3611">
            <w:pPr>
              <w:pStyle w:val="Table10ptHeading-ASDEFCON"/>
              <w:rPr>
                <w:rFonts w:eastAsia="Calibri"/>
              </w:rPr>
            </w:pPr>
            <w:r w:rsidRPr="00CE3611">
              <w:t xml:space="preserve">Restrictions on Commonwealth's rights to Use or </w:t>
            </w:r>
            <w:proofErr w:type="spellStart"/>
            <w:r w:rsidRPr="00CE3611">
              <w:t>Sublicence</w:t>
            </w:r>
            <w:proofErr w:type="spellEnd"/>
            <w:r w:rsidRPr="00CE3611">
              <w:t xml:space="preserve"> the TD or Software</w:t>
            </w:r>
          </w:p>
          <w:p w14:paraId="24A3A143" w14:textId="6B40313E" w:rsidR="00FF7A51" w:rsidRPr="00CE3611" w:rsidRDefault="00FF7A51" w:rsidP="00CE3611">
            <w:pPr>
              <w:pStyle w:val="Table10ptHeading-ASDEFCON"/>
              <w:rPr>
                <w:rFonts w:eastAsia="Calibri"/>
              </w:rPr>
            </w:pPr>
            <w:r w:rsidRPr="00CE3611">
              <w:t>(COC, clause 5.2)</w:t>
            </w:r>
          </w:p>
        </w:tc>
        <w:tc>
          <w:tcPr>
            <w:tcW w:w="1313" w:type="pct"/>
            <w:tcBorders>
              <w:top w:val="single" w:sz="4" w:space="0" w:color="auto"/>
              <w:left w:val="single" w:sz="6" w:space="0" w:color="auto"/>
              <w:bottom w:val="single" w:sz="4" w:space="0" w:color="auto"/>
              <w:right w:val="single" w:sz="4" w:space="0" w:color="auto"/>
            </w:tcBorders>
            <w:shd w:val="clear" w:color="auto" w:fill="BFBFBF" w:themeFill="background1" w:themeFillShade="BF"/>
          </w:tcPr>
          <w:p w14:paraId="346E4DC6" w14:textId="77777777" w:rsidR="00FF7A51" w:rsidRPr="00CE3611" w:rsidRDefault="00FF7A51" w:rsidP="00CE3611">
            <w:pPr>
              <w:pStyle w:val="Table10ptHeading-ASDEFCON"/>
              <w:rPr>
                <w:rFonts w:eastAsia="Calibri"/>
              </w:rPr>
            </w:pPr>
            <w:r w:rsidRPr="00CE3611">
              <w:t>Justification for Restriction(s)</w:t>
            </w:r>
          </w:p>
        </w:tc>
      </w:tr>
      <w:tr w:rsidR="00CE3611" w14:paraId="3A9BD125" w14:textId="77777777" w:rsidTr="00CE3611">
        <w:trPr>
          <w:trHeight w:val="236"/>
        </w:trPr>
        <w:tc>
          <w:tcPr>
            <w:tcW w:w="455" w:type="pct"/>
            <w:tcBorders>
              <w:top w:val="single" w:sz="4" w:space="0" w:color="auto"/>
            </w:tcBorders>
            <w:shd w:val="clear" w:color="auto" w:fill="CCCCCC"/>
          </w:tcPr>
          <w:p w14:paraId="5452AE4F" w14:textId="77777777" w:rsidR="00FF7A51" w:rsidRDefault="00FF7A51" w:rsidP="00CE3611">
            <w:pPr>
              <w:pStyle w:val="Table10ptHeading-ASDEFCON"/>
            </w:pPr>
            <w:r>
              <w:t>(a)</w:t>
            </w:r>
          </w:p>
        </w:tc>
        <w:tc>
          <w:tcPr>
            <w:tcW w:w="505" w:type="pct"/>
            <w:tcBorders>
              <w:top w:val="single" w:sz="4" w:space="0" w:color="auto"/>
            </w:tcBorders>
            <w:shd w:val="clear" w:color="auto" w:fill="CCCCCC"/>
          </w:tcPr>
          <w:p w14:paraId="02F5ECFC" w14:textId="77777777" w:rsidR="00FF7A51" w:rsidRDefault="00FF7A51" w:rsidP="00CE3611">
            <w:pPr>
              <w:pStyle w:val="Table10ptHeading-ASDEFCON"/>
            </w:pPr>
            <w:r>
              <w:t>(b)</w:t>
            </w:r>
          </w:p>
        </w:tc>
        <w:tc>
          <w:tcPr>
            <w:tcW w:w="555" w:type="pct"/>
            <w:tcBorders>
              <w:top w:val="single" w:sz="4" w:space="0" w:color="auto"/>
            </w:tcBorders>
            <w:shd w:val="clear" w:color="auto" w:fill="CCCCCC"/>
          </w:tcPr>
          <w:p w14:paraId="2F9142AF" w14:textId="77777777" w:rsidR="00FF7A51" w:rsidRDefault="00FF7A51" w:rsidP="00CE3611">
            <w:pPr>
              <w:pStyle w:val="Table10ptHeading-ASDEFCON"/>
            </w:pPr>
            <w:r>
              <w:t>(c)</w:t>
            </w:r>
          </w:p>
        </w:tc>
        <w:tc>
          <w:tcPr>
            <w:tcW w:w="555" w:type="pct"/>
            <w:tcBorders>
              <w:top w:val="single" w:sz="4" w:space="0" w:color="auto"/>
            </w:tcBorders>
            <w:shd w:val="clear" w:color="auto" w:fill="CCCCCC"/>
          </w:tcPr>
          <w:p w14:paraId="72B803D2" w14:textId="77777777" w:rsidR="00FF7A51" w:rsidRDefault="00FF7A51" w:rsidP="00CE3611">
            <w:pPr>
              <w:pStyle w:val="Table10ptHeading-ASDEFCON"/>
            </w:pPr>
            <w:r>
              <w:t>(d)</w:t>
            </w:r>
          </w:p>
        </w:tc>
        <w:tc>
          <w:tcPr>
            <w:tcW w:w="555" w:type="pct"/>
            <w:tcBorders>
              <w:top w:val="single" w:sz="4" w:space="0" w:color="auto"/>
            </w:tcBorders>
            <w:shd w:val="clear" w:color="auto" w:fill="CCCCCC"/>
          </w:tcPr>
          <w:p w14:paraId="187794BD" w14:textId="77777777" w:rsidR="00FF7A51" w:rsidRDefault="00FF7A51" w:rsidP="00CE3611">
            <w:pPr>
              <w:pStyle w:val="Table10ptHeading-ASDEFCON"/>
            </w:pPr>
            <w:r>
              <w:t>(e)</w:t>
            </w:r>
          </w:p>
        </w:tc>
        <w:tc>
          <w:tcPr>
            <w:tcW w:w="1061" w:type="pct"/>
            <w:tcBorders>
              <w:top w:val="single" w:sz="4" w:space="0" w:color="auto"/>
            </w:tcBorders>
            <w:shd w:val="clear" w:color="auto" w:fill="CCCCCC"/>
          </w:tcPr>
          <w:p w14:paraId="3E91DD78" w14:textId="77777777" w:rsidR="00FF7A51" w:rsidRDefault="00FF7A51" w:rsidP="00CE3611">
            <w:pPr>
              <w:pStyle w:val="Table10ptHeading-ASDEFCON"/>
            </w:pPr>
            <w:r>
              <w:t>(f)</w:t>
            </w:r>
          </w:p>
        </w:tc>
        <w:tc>
          <w:tcPr>
            <w:tcW w:w="1313" w:type="pct"/>
            <w:tcBorders>
              <w:top w:val="single" w:sz="4" w:space="0" w:color="auto"/>
            </w:tcBorders>
            <w:shd w:val="clear" w:color="auto" w:fill="CCCCCC"/>
          </w:tcPr>
          <w:p w14:paraId="7CEA1104" w14:textId="77777777" w:rsidR="00FF7A51" w:rsidRDefault="00FF7A51" w:rsidP="00CE3611">
            <w:pPr>
              <w:pStyle w:val="Table10ptHeading-ASDEFCON"/>
            </w:pPr>
            <w:r>
              <w:t>(g)</w:t>
            </w:r>
          </w:p>
        </w:tc>
      </w:tr>
      <w:tr w:rsidR="00FF7A51" w14:paraId="63C9B714" w14:textId="77777777" w:rsidTr="00CE3611">
        <w:trPr>
          <w:cantSplit/>
          <w:trHeight w:val="597"/>
        </w:trPr>
        <w:tc>
          <w:tcPr>
            <w:tcW w:w="455" w:type="pct"/>
          </w:tcPr>
          <w:p w14:paraId="06B35AAD" w14:textId="382836D0" w:rsidR="00FF7A51" w:rsidRPr="00C63F35" w:rsidRDefault="00C63F35" w:rsidP="00CE3611">
            <w:pPr>
              <w:pStyle w:val="Table10ptText-ASDEFCON"/>
              <w:rPr>
                <w:i/>
              </w:rPr>
            </w:pPr>
            <w:r>
              <w:rPr>
                <w:i/>
              </w:rPr>
              <w:t xml:space="preserve">Example: </w:t>
            </w:r>
            <w:r>
              <w:rPr>
                <w:i/>
              </w:rPr>
              <w:br/>
            </w:r>
            <w:r w:rsidR="00FF7A51" w:rsidRPr="00C63F35">
              <w:rPr>
                <w:i/>
              </w:rPr>
              <w:t>G-A-1</w:t>
            </w:r>
          </w:p>
        </w:tc>
        <w:tc>
          <w:tcPr>
            <w:tcW w:w="505" w:type="pct"/>
          </w:tcPr>
          <w:p w14:paraId="29AA5758" w14:textId="77777777" w:rsidR="00FF7A51" w:rsidRPr="00C63F35" w:rsidRDefault="00FF7A51" w:rsidP="00CE3611">
            <w:pPr>
              <w:pStyle w:val="Table10ptText-ASDEFCON"/>
              <w:rPr>
                <w:i/>
              </w:rPr>
            </w:pPr>
            <w:r w:rsidRPr="00C63F35">
              <w:rPr>
                <w:i/>
              </w:rPr>
              <w:t>ABC #1295</w:t>
            </w:r>
          </w:p>
        </w:tc>
        <w:tc>
          <w:tcPr>
            <w:tcW w:w="555" w:type="pct"/>
          </w:tcPr>
          <w:p w14:paraId="06E5A32A" w14:textId="77777777" w:rsidR="00FF7A51" w:rsidRPr="00C63F35" w:rsidRDefault="00FF7A51" w:rsidP="00CE3611">
            <w:pPr>
              <w:pStyle w:val="Table10ptText-ASDEFCON"/>
              <w:rPr>
                <w:i/>
              </w:rPr>
            </w:pPr>
            <w:r w:rsidRPr="00C63F35">
              <w:rPr>
                <w:i/>
              </w:rPr>
              <w:t>Contractor</w:t>
            </w:r>
          </w:p>
        </w:tc>
        <w:tc>
          <w:tcPr>
            <w:tcW w:w="555" w:type="pct"/>
          </w:tcPr>
          <w:p w14:paraId="32B12DB8" w14:textId="77777777" w:rsidR="00FF7A51" w:rsidRPr="00C63F35" w:rsidRDefault="00FF7A51" w:rsidP="00CE3611">
            <w:pPr>
              <w:pStyle w:val="Table10ptText-ASDEFCON"/>
              <w:rPr>
                <w:i/>
              </w:rPr>
            </w:pPr>
            <w:r w:rsidRPr="00C63F35">
              <w:rPr>
                <w:i/>
              </w:rPr>
              <w:t xml:space="preserve">Fuel tank </w:t>
            </w:r>
          </w:p>
        </w:tc>
        <w:tc>
          <w:tcPr>
            <w:tcW w:w="555" w:type="pct"/>
          </w:tcPr>
          <w:p w14:paraId="5233ACCE" w14:textId="77777777" w:rsidR="00FF7A51" w:rsidRPr="00C63F35" w:rsidRDefault="00FF7A51" w:rsidP="00CE3611">
            <w:pPr>
              <w:pStyle w:val="Table10ptText-ASDEFCON"/>
              <w:rPr>
                <w:i/>
              </w:rPr>
            </w:pPr>
            <w:r w:rsidRPr="00C63F35">
              <w:rPr>
                <w:i/>
              </w:rPr>
              <w:t>Process for emptying and cleaning Wing fuel tanks and maintaining fuel tank pumps</w:t>
            </w:r>
          </w:p>
        </w:tc>
        <w:tc>
          <w:tcPr>
            <w:tcW w:w="1061" w:type="pct"/>
          </w:tcPr>
          <w:p w14:paraId="2379472F" w14:textId="77777777" w:rsidR="00FF7A51" w:rsidRPr="00C63F35" w:rsidRDefault="00FF7A51" w:rsidP="00CE3611">
            <w:pPr>
              <w:pStyle w:val="Table10ptText-ASDEFCON"/>
              <w:rPr>
                <w:i/>
              </w:rPr>
            </w:pPr>
            <w:r w:rsidRPr="00C63F35">
              <w:rPr>
                <w:i/>
              </w:rPr>
              <w:t xml:space="preserve">The Commonwealth's rights to Use the TD is limited to performance assessment and cost review purposes only. </w:t>
            </w:r>
          </w:p>
          <w:p w14:paraId="7EACA293" w14:textId="77777777" w:rsidR="00FF7A51" w:rsidRPr="00C63F35" w:rsidRDefault="00FF7A51" w:rsidP="00CE3611">
            <w:pPr>
              <w:pStyle w:val="Table10ptText-ASDEFCON"/>
              <w:rPr>
                <w:i/>
              </w:rPr>
            </w:pPr>
            <w:r w:rsidRPr="00C63F35">
              <w:rPr>
                <w:i/>
              </w:rPr>
              <w:t xml:space="preserve">The Commonwealth is not entitled to grant a </w:t>
            </w:r>
            <w:proofErr w:type="spellStart"/>
            <w:r w:rsidRPr="00C63F35">
              <w:rPr>
                <w:i/>
              </w:rPr>
              <w:t>Sublicence</w:t>
            </w:r>
            <w:proofErr w:type="spellEnd"/>
            <w:r w:rsidRPr="00C63F35">
              <w:rPr>
                <w:i/>
              </w:rPr>
              <w:t xml:space="preserve"> in respect of the TD other than to a Commonwealth Service Provider not included as an Excluded Party.</w:t>
            </w:r>
          </w:p>
        </w:tc>
        <w:tc>
          <w:tcPr>
            <w:tcW w:w="1313" w:type="pct"/>
          </w:tcPr>
          <w:p w14:paraId="3FE5CCB3" w14:textId="77777777" w:rsidR="00FF7A51" w:rsidRPr="00C63F35" w:rsidRDefault="00FF7A51" w:rsidP="00CE3611">
            <w:pPr>
              <w:pStyle w:val="Table10ptText-ASDEFCON"/>
              <w:rPr>
                <w:i/>
                <w:caps/>
              </w:rPr>
            </w:pPr>
            <w:r w:rsidRPr="00C63F35">
              <w:rPr>
                <w:i/>
              </w:rPr>
              <w:t>This data is highly sensitive data that underpins the Contractor's business. The disclosure of this data to a competitor of the Contractor would cause very significant damage to the Contractor's business.</w:t>
            </w:r>
          </w:p>
          <w:p w14:paraId="6DEACD0F" w14:textId="77777777" w:rsidR="00FF7A51" w:rsidRPr="00C63F35" w:rsidRDefault="00FF7A51" w:rsidP="00CE3611">
            <w:pPr>
              <w:pStyle w:val="Table10ptText-ASDEFCON"/>
              <w:rPr>
                <w:i/>
                <w:caps/>
              </w:rPr>
            </w:pPr>
            <w:r w:rsidRPr="00C63F35">
              <w:rPr>
                <w:i/>
              </w:rPr>
              <w:t>This data is only required for performance assessments and cost review purposes and is not required to enable the Commonwealth (or its Contractors) to use or support or maintain the Products Being Supported as envisaged under the Contract.</w:t>
            </w:r>
          </w:p>
        </w:tc>
      </w:tr>
      <w:tr w:rsidR="00FF7A51" w14:paraId="65444D8B" w14:textId="77777777" w:rsidTr="00CE3611">
        <w:trPr>
          <w:trHeight w:val="597"/>
        </w:trPr>
        <w:tc>
          <w:tcPr>
            <w:tcW w:w="455" w:type="pct"/>
          </w:tcPr>
          <w:p w14:paraId="4C815334" w14:textId="5AF0FBA2" w:rsidR="00FF7A51" w:rsidRPr="00C63F35" w:rsidRDefault="00C63F35" w:rsidP="00CE3611">
            <w:pPr>
              <w:pStyle w:val="Table10ptText-ASDEFCON"/>
              <w:rPr>
                <w:i/>
              </w:rPr>
            </w:pPr>
            <w:r>
              <w:rPr>
                <w:i/>
              </w:rPr>
              <w:t xml:space="preserve">Example: </w:t>
            </w:r>
            <w:r>
              <w:rPr>
                <w:i/>
              </w:rPr>
              <w:br/>
            </w:r>
            <w:r w:rsidR="00FF7A51" w:rsidRPr="00C63F35">
              <w:rPr>
                <w:i/>
              </w:rPr>
              <w:t>G-A-2</w:t>
            </w:r>
          </w:p>
        </w:tc>
        <w:tc>
          <w:tcPr>
            <w:tcW w:w="505" w:type="pct"/>
          </w:tcPr>
          <w:p w14:paraId="1861E309" w14:textId="77777777" w:rsidR="00FF7A51" w:rsidRPr="00C63F35" w:rsidRDefault="00FF7A51" w:rsidP="00CE3611">
            <w:pPr>
              <w:pStyle w:val="Table10ptText-ASDEFCON"/>
              <w:rPr>
                <w:i/>
              </w:rPr>
            </w:pPr>
            <w:r w:rsidRPr="00C63F35">
              <w:rPr>
                <w:i/>
              </w:rPr>
              <w:t>ABC #1258</w:t>
            </w:r>
          </w:p>
        </w:tc>
        <w:tc>
          <w:tcPr>
            <w:tcW w:w="555" w:type="pct"/>
          </w:tcPr>
          <w:p w14:paraId="7E4F8E62" w14:textId="77777777" w:rsidR="00FF7A51" w:rsidRPr="00C63F35" w:rsidRDefault="00FF7A51" w:rsidP="00CE3611">
            <w:pPr>
              <w:pStyle w:val="Table10ptText-ASDEFCON"/>
              <w:rPr>
                <w:i/>
              </w:rPr>
            </w:pPr>
            <w:r w:rsidRPr="00C63F35">
              <w:rPr>
                <w:i/>
              </w:rPr>
              <w:t>EWS Ltd (Approved Subcontractor)</w:t>
            </w:r>
          </w:p>
        </w:tc>
        <w:tc>
          <w:tcPr>
            <w:tcW w:w="555" w:type="pct"/>
          </w:tcPr>
          <w:p w14:paraId="4D1635B2" w14:textId="77777777" w:rsidR="00FF7A51" w:rsidRPr="00C63F35" w:rsidRDefault="00FF7A51" w:rsidP="00CE3611">
            <w:pPr>
              <w:pStyle w:val="Table10ptText-ASDEFCON"/>
              <w:rPr>
                <w:i/>
              </w:rPr>
            </w:pPr>
            <w:r w:rsidRPr="00C63F35">
              <w:rPr>
                <w:i/>
              </w:rPr>
              <w:t>Combat Management  System</w:t>
            </w:r>
          </w:p>
        </w:tc>
        <w:tc>
          <w:tcPr>
            <w:tcW w:w="555" w:type="pct"/>
          </w:tcPr>
          <w:p w14:paraId="6816BD50" w14:textId="77777777" w:rsidR="00FF7A51" w:rsidRPr="00C63F35" w:rsidRDefault="00FF7A51" w:rsidP="00CE3611">
            <w:pPr>
              <w:pStyle w:val="Table10ptText-ASDEFCON"/>
              <w:rPr>
                <w:i/>
              </w:rPr>
            </w:pPr>
            <w:r w:rsidRPr="00C63F35">
              <w:rPr>
                <w:i/>
              </w:rPr>
              <w:t xml:space="preserve">Electronic Warfare Maintenance and Configuration Tool (including Source Code) </w:t>
            </w:r>
          </w:p>
        </w:tc>
        <w:tc>
          <w:tcPr>
            <w:tcW w:w="1061" w:type="pct"/>
          </w:tcPr>
          <w:p w14:paraId="4B698320" w14:textId="77777777" w:rsidR="00FF7A51" w:rsidRPr="00C63F35" w:rsidRDefault="00FF7A51" w:rsidP="00CE3611">
            <w:pPr>
              <w:pStyle w:val="Table10ptText-ASDEFCON"/>
              <w:rPr>
                <w:i/>
              </w:rPr>
            </w:pPr>
            <w:r w:rsidRPr="00C63F35">
              <w:rPr>
                <w:i/>
              </w:rPr>
              <w:t xml:space="preserve">The Commonwealth must not grant a </w:t>
            </w:r>
            <w:proofErr w:type="spellStart"/>
            <w:r w:rsidRPr="00C63F35">
              <w:rPr>
                <w:i/>
              </w:rPr>
              <w:t>Sublicence</w:t>
            </w:r>
            <w:proofErr w:type="spellEnd"/>
            <w:r w:rsidRPr="00C63F35">
              <w:rPr>
                <w:i/>
              </w:rPr>
              <w:t xml:space="preserve"> of the TD to XRY Pty Ltd or its Related Bodies Corporate for any reason.</w:t>
            </w:r>
          </w:p>
        </w:tc>
        <w:tc>
          <w:tcPr>
            <w:tcW w:w="1313" w:type="pct"/>
          </w:tcPr>
          <w:p w14:paraId="29D82D08" w14:textId="77777777" w:rsidR="00FF7A51" w:rsidRPr="00C63F35" w:rsidRDefault="00FF7A51" w:rsidP="00CE3611">
            <w:pPr>
              <w:pStyle w:val="Table10ptText-ASDEFCON"/>
              <w:rPr>
                <w:i/>
              </w:rPr>
            </w:pPr>
            <w:r w:rsidRPr="00C63F35">
              <w:rPr>
                <w:i/>
              </w:rPr>
              <w:t>Disclosure of the Maintenance and Configuration Tool (including Source Code) to the listed companies (or their Related Bodies Corporates) would cause very significant damage to the business of EWS Ltd and result in the Contractor being unable to exercise the maintenance licence granted directly by EWS Ltd to the Contractor for this Contract and many similar US Air Force EW system support contracts.</w:t>
            </w:r>
          </w:p>
        </w:tc>
      </w:tr>
    </w:tbl>
    <w:p w14:paraId="085FABD6" w14:textId="77777777" w:rsidR="00FF7A51" w:rsidRDefault="00FF7A51" w:rsidP="00FF7A51">
      <w:pPr>
        <w:pStyle w:val="ASDEFCONNormal"/>
        <w:sectPr w:rsidR="00FF7A51" w:rsidSect="00C63F35">
          <w:pgSz w:w="16840" w:h="11907" w:orient="landscape" w:code="9"/>
          <w:pgMar w:top="1418" w:right="1304" w:bottom="1418" w:left="907" w:header="567" w:footer="283" w:gutter="0"/>
          <w:paperSrc w:first="257" w:other="257"/>
          <w:cols w:space="720"/>
          <w:docGrid w:linePitch="272"/>
        </w:sectPr>
      </w:pPr>
    </w:p>
    <w:p w14:paraId="67243ED6" w14:textId="77777777" w:rsidR="00FF7A51" w:rsidRDefault="00FF7A51" w:rsidP="00763A4F">
      <w:pPr>
        <w:pStyle w:val="ASDEFCONTitle"/>
      </w:pPr>
      <w:r>
        <w:t>ANNEX B - DELIVERY AND LICENCE RESTRICTIONS ON USE OF TD AND SOFTWARE (CORE)</w:t>
      </w:r>
    </w:p>
    <w:p w14:paraId="748B7C71" w14:textId="77777777" w:rsidR="00FF7A51" w:rsidRPr="00FF7A51" w:rsidRDefault="00FF7A51" w:rsidP="00763A4F">
      <w:pPr>
        <w:pStyle w:val="NoteToDrafters-ASDEFCON"/>
      </w:pPr>
      <w:r w:rsidRPr="00FF7A51">
        <w:t xml:space="preserve">Note to drafters:  The Commonwealth's rights to Use and Sublicense TD and Software under clause </w:t>
      </w:r>
      <w:proofErr w:type="gramStart"/>
      <w:r w:rsidRPr="00FF7A51">
        <w:t>5.3.3b(</w:t>
      </w:r>
      <w:proofErr w:type="gramEnd"/>
      <w:r w:rsidRPr="00FF7A51">
        <w:t>ix) of the draft COC and the Commonwealth's rights to have TD and Software delivered, may be subject to restrictions as set out in this Annex B.  The Commonwealth must carefully consider any restrictions proposed by a tenderer before agreeing to include them in this Annex B.</w:t>
      </w:r>
    </w:p>
    <w:p w14:paraId="2632000D" w14:textId="77777777" w:rsidR="00FF7A51" w:rsidRPr="00FF7A51" w:rsidRDefault="00FF7A51" w:rsidP="00763A4F">
      <w:pPr>
        <w:pStyle w:val="NoteToDrafters-ASDEFCON"/>
      </w:pPr>
      <w:r w:rsidRPr="00FF7A51">
        <w:t>Restrictions may apply for TD and Software that the tenderer proposed to provide at the Effective Date (e.g. is licenced by an OEM for TD or Software that was not delivered to the Commonwealth as part of the acquisition of the Capability or Products Being Supported) or that will be introduced during any resultant Contract (e.g. when a modification under an S&amp;Q Order introduces new equipment).</w:t>
      </w:r>
    </w:p>
    <w:p w14:paraId="66B13DA7" w14:textId="77777777" w:rsidR="004652E5" w:rsidRDefault="00FF7A51" w:rsidP="00763A4F">
      <w:pPr>
        <w:pStyle w:val="NoteToDrafters-ASDEFCON"/>
      </w:pPr>
      <w:r w:rsidRPr="00FF7A51">
        <w:t xml:space="preserve">Drafters should, after considering Materiel System requirements from a Life of Type perspective (particularly the implications for any related and future support contracts), and after conducting or updating a TDRA if applicable, draw each tenderer's attention to any restrictions that the Commonwealth considers would not be acceptable.  This information should be included as a note to tenderers or in TDR C-5.  </w:t>
      </w:r>
    </w:p>
    <w:p w14:paraId="2CAE799C" w14:textId="0EA84D18" w:rsidR="004652E5" w:rsidRDefault="004652E5" w:rsidP="00763A4F">
      <w:pPr>
        <w:pStyle w:val="NoteToTenderers-ASDEFCON"/>
      </w:pPr>
      <w:r>
        <w:t>Note to tenderers:  In addition to the information provided in this Annex B, tenderers should note any guidance provided in TDR C-5 and this Annex B in relation to specific restrictions that are considered to be unacceptable to the Commonwealth.  In responding, tenderers are to identify any proposed restrictions on:</w:t>
      </w:r>
    </w:p>
    <w:p w14:paraId="3C7C332F" w14:textId="6708B38E" w:rsidR="004652E5" w:rsidRDefault="004652E5" w:rsidP="00763A4F">
      <w:pPr>
        <w:pStyle w:val="NoteToTenderersList-ASDEFCON"/>
        <w:numPr>
          <w:ilvl w:val="0"/>
          <w:numId w:val="38"/>
        </w:numPr>
      </w:pPr>
      <w:r>
        <w:t>the Commonwealth's Sublicensing rights in respect of TD and Software under clause 5.3.3b(ix) of the draft COC (columns (f) and (g)); and</w:t>
      </w:r>
    </w:p>
    <w:p w14:paraId="03C45FEE" w14:textId="49A95D99" w:rsidR="004652E5" w:rsidRDefault="004652E5" w:rsidP="00763A4F">
      <w:pPr>
        <w:pStyle w:val="NoteToTenderersList-ASDEFCON"/>
      </w:pPr>
      <w:proofErr w:type="gramStart"/>
      <w:r>
        <w:t>the</w:t>
      </w:r>
      <w:proofErr w:type="gramEnd"/>
      <w:r>
        <w:t xml:space="preserve"> Commonwealth's rights to require delivery of TD for the purposes of clause 5.13 of the draft COC (columns (e) and (g)).  Restrictions will only be included in column (e) where tenderers have justified the basis for the restricted delivery requirements for the relevant TD or Software.  These restrictions will only be agreed if the Commonwealth considers that delivery of the item to the Commonwealth is not required.</w:t>
      </w:r>
    </w:p>
    <w:p w14:paraId="1FA0D660" w14:textId="77777777" w:rsidR="004652E5" w:rsidRDefault="004652E5" w:rsidP="00763A4F">
      <w:pPr>
        <w:pStyle w:val="NoteToTenderers-ASDEFCON"/>
      </w:pPr>
      <w:r>
        <w:t>If TD or Software currently exists that will be incorporated into Commonwealth TD or Commonwealth Software, tenderers are to list the TD or Software in this Annex B and include a reference to the relevant Unique Line Item Description of the Commonwealth TD or Commonwealth Software from Annex D and insert in column (d).</w:t>
      </w:r>
    </w:p>
    <w:p w14:paraId="2E10088C" w14:textId="77777777" w:rsidR="004652E5" w:rsidRDefault="004652E5">
      <w:pPr>
        <w:pStyle w:val="NoteToTenderers-ASDEFCON"/>
      </w:pPr>
      <w:r>
        <w:t xml:space="preserve">For any item of TD or Software that is subject to restrictions on delivery to the Commonwealth, the recipient of the TD or Software is the person identified in the Approved TDL. </w:t>
      </w:r>
    </w:p>
    <w:p w14:paraId="376BE915" w14:textId="77777777" w:rsidR="00636700" w:rsidRDefault="00636700" w:rsidP="004652E5">
      <w:pPr>
        <w:pStyle w:val="ASDEFCONNormal"/>
        <w:sectPr w:rsidR="00636700" w:rsidSect="00C63F35">
          <w:footerReference w:type="default" r:id="rId11"/>
          <w:pgSz w:w="16840" w:h="11907" w:orient="landscape" w:code="9"/>
          <w:pgMar w:top="1418" w:right="1304" w:bottom="1418" w:left="907" w:header="567" w:footer="283" w:gutter="0"/>
          <w:paperSrc w:first="257" w:other="257"/>
          <w:pgNumType w:start="1"/>
          <w:cols w:space="720"/>
          <w:docGrid w:linePitch="272"/>
        </w:sect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17"/>
        <w:gridCol w:w="1150"/>
        <w:gridCol w:w="1583"/>
        <w:gridCol w:w="2464"/>
        <w:gridCol w:w="2412"/>
        <w:gridCol w:w="2471"/>
        <w:gridCol w:w="3222"/>
      </w:tblGrid>
      <w:tr w:rsidR="00C63F35" w14:paraId="5EE41C76" w14:textId="77777777" w:rsidTr="00C63F35">
        <w:trPr>
          <w:cantSplit/>
          <w:trHeight w:val="462"/>
        </w:trPr>
        <w:tc>
          <w:tcPr>
            <w:tcW w:w="450" w:type="pct"/>
            <w:tcBorders>
              <w:top w:val="single" w:sz="4" w:space="0" w:color="auto"/>
              <w:left w:val="single" w:sz="4" w:space="0" w:color="auto"/>
              <w:bottom w:val="single" w:sz="4" w:space="0" w:color="auto"/>
              <w:right w:val="single" w:sz="6" w:space="0" w:color="auto"/>
            </w:tcBorders>
            <w:shd w:val="clear" w:color="auto" w:fill="BFBFBF" w:themeFill="background1" w:themeFillShade="BF"/>
          </w:tcPr>
          <w:p w14:paraId="463A2160" w14:textId="77777777" w:rsidR="00636700" w:rsidRPr="00C63F35" w:rsidRDefault="00636700" w:rsidP="00C63F35">
            <w:pPr>
              <w:pStyle w:val="Table10ptHeading-ASDEFCON"/>
              <w:rPr>
                <w:rFonts w:eastAsia="Calibri"/>
              </w:rPr>
            </w:pPr>
            <w:r w:rsidRPr="00C63F35">
              <w:t>Unique Line Item Description</w:t>
            </w:r>
          </w:p>
        </w:tc>
        <w:tc>
          <w:tcPr>
            <w:tcW w:w="393"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3F1F2C61" w14:textId="77777777" w:rsidR="00636700" w:rsidRPr="00C63F35" w:rsidRDefault="00636700" w:rsidP="00C63F35">
            <w:pPr>
              <w:pStyle w:val="Table10ptHeading-ASDEFCON"/>
              <w:rPr>
                <w:rFonts w:eastAsia="Calibri"/>
              </w:rPr>
            </w:pPr>
            <w:r w:rsidRPr="00C63F35">
              <w:t>Owner or Licensor</w:t>
            </w:r>
          </w:p>
        </w:tc>
        <w:tc>
          <w:tcPr>
            <w:tcW w:w="541"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29F64A2D" w14:textId="77777777" w:rsidR="00636700" w:rsidRPr="00C63F35" w:rsidRDefault="00636700" w:rsidP="00C63F35">
            <w:pPr>
              <w:pStyle w:val="Table10ptHeading-ASDEFCON"/>
              <w:rPr>
                <w:rFonts w:eastAsia="Calibri"/>
              </w:rPr>
            </w:pPr>
            <w:r w:rsidRPr="00C63F35">
              <w:t>System/</w:t>
            </w:r>
            <w:r w:rsidRPr="00C63F35">
              <w:br/>
              <w:t>Subsystem/ Component/CI Name</w:t>
            </w:r>
          </w:p>
        </w:tc>
        <w:tc>
          <w:tcPr>
            <w:tcW w:w="843"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68885804" w14:textId="77777777" w:rsidR="00636700" w:rsidRPr="00C63F35" w:rsidRDefault="00636700" w:rsidP="00C63F35">
            <w:pPr>
              <w:pStyle w:val="Table10ptHeading-ASDEFCON"/>
              <w:rPr>
                <w:rFonts w:eastAsia="Calibri"/>
              </w:rPr>
            </w:pPr>
            <w:r w:rsidRPr="00C63F35">
              <w:t>Description of TD or Software</w:t>
            </w:r>
          </w:p>
          <w:p w14:paraId="51A59015" w14:textId="77777777" w:rsidR="00636700" w:rsidRPr="00C63F35" w:rsidRDefault="00636700" w:rsidP="00C63F35">
            <w:pPr>
              <w:pStyle w:val="Table10ptHeading-ASDEFCON"/>
              <w:rPr>
                <w:rFonts w:eastAsia="Calibri"/>
              </w:rPr>
            </w:pPr>
            <w:r w:rsidRPr="00C63F35">
              <w:t>(and refer to Unique Line Item Description from Annex D, if appropriate)</w:t>
            </w:r>
          </w:p>
        </w:tc>
        <w:tc>
          <w:tcPr>
            <w:tcW w:w="825"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57954E6B" w14:textId="77777777" w:rsidR="00636700" w:rsidRPr="00C63F35" w:rsidRDefault="00636700" w:rsidP="00C63F35">
            <w:pPr>
              <w:pStyle w:val="Table10ptHeading-ASDEFCON"/>
              <w:rPr>
                <w:rFonts w:eastAsia="Calibri"/>
              </w:rPr>
            </w:pPr>
            <w:r w:rsidRPr="00C63F35">
              <w:t>Restrictions on Commonwealth's rights to the delivery of the TD or Software</w:t>
            </w:r>
          </w:p>
          <w:p w14:paraId="15EE4214" w14:textId="77777777" w:rsidR="00636700" w:rsidRPr="00C63F35" w:rsidRDefault="00636700" w:rsidP="00C63F35">
            <w:pPr>
              <w:pStyle w:val="Table10ptHeading-ASDEFCON"/>
              <w:rPr>
                <w:rFonts w:eastAsia="Calibri"/>
              </w:rPr>
            </w:pPr>
            <w:r w:rsidRPr="00C63F35">
              <w:t>(Yes / No)</w:t>
            </w:r>
          </w:p>
          <w:p w14:paraId="7069BF9F" w14:textId="77777777" w:rsidR="00636700" w:rsidRPr="00C63F35" w:rsidRDefault="00636700" w:rsidP="00C63F35">
            <w:pPr>
              <w:pStyle w:val="Table10ptHeading-ASDEFCON"/>
              <w:rPr>
                <w:rFonts w:eastAsia="Calibri"/>
              </w:rPr>
            </w:pPr>
            <w:r w:rsidRPr="00C63F35">
              <w:t>(COC, clause 5.13)</w:t>
            </w:r>
          </w:p>
          <w:p w14:paraId="23E9261B" w14:textId="77777777" w:rsidR="00636700" w:rsidRPr="00C63F35" w:rsidRDefault="00636700" w:rsidP="00C63F35">
            <w:pPr>
              <w:pStyle w:val="Table10ptHeading-ASDEFCON"/>
              <w:rPr>
                <w:rFonts w:eastAsia="Calibri"/>
              </w:rPr>
            </w:pPr>
            <w:r w:rsidRPr="00C63F35">
              <w:t>If yes, specify identity of recipient(s) or nature of the restrictions in column (g)</w:t>
            </w:r>
          </w:p>
        </w:tc>
        <w:tc>
          <w:tcPr>
            <w:tcW w:w="845"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4267B0A7" w14:textId="77777777" w:rsidR="00636700" w:rsidRPr="00C63F35" w:rsidRDefault="00636700" w:rsidP="00C63F35">
            <w:pPr>
              <w:pStyle w:val="Table10ptHeading-ASDEFCON"/>
              <w:rPr>
                <w:rFonts w:eastAsia="Calibri"/>
              </w:rPr>
            </w:pPr>
            <w:r w:rsidRPr="00C63F35">
              <w:t xml:space="preserve">Restrictions on Commonwealth's rights to Use or </w:t>
            </w:r>
            <w:proofErr w:type="spellStart"/>
            <w:r w:rsidRPr="00C63F35">
              <w:t>Sublicence</w:t>
            </w:r>
            <w:proofErr w:type="spellEnd"/>
            <w:r w:rsidRPr="00C63F35">
              <w:t xml:space="preserve"> the TD or Software</w:t>
            </w:r>
          </w:p>
          <w:p w14:paraId="1EF0BE27" w14:textId="77777777" w:rsidR="00636700" w:rsidRPr="00C63F35" w:rsidRDefault="00636700" w:rsidP="00C63F35">
            <w:pPr>
              <w:pStyle w:val="Table10ptHeading-ASDEFCON"/>
              <w:rPr>
                <w:rFonts w:eastAsia="Calibri"/>
              </w:rPr>
            </w:pPr>
            <w:r w:rsidRPr="00C63F35">
              <w:t>(COC, clause 5.3.3b(ix))</w:t>
            </w:r>
          </w:p>
          <w:p w14:paraId="14BB9C96" w14:textId="77777777" w:rsidR="00636700" w:rsidRPr="00C63F35" w:rsidRDefault="00636700" w:rsidP="00C63F35">
            <w:pPr>
              <w:pStyle w:val="Table10ptHeading-ASDEFCON"/>
              <w:rPr>
                <w:rFonts w:eastAsia="Calibri"/>
              </w:rPr>
            </w:pPr>
          </w:p>
        </w:tc>
        <w:tc>
          <w:tcPr>
            <w:tcW w:w="1102" w:type="pct"/>
            <w:tcBorders>
              <w:top w:val="single" w:sz="4" w:space="0" w:color="auto"/>
              <w:left w:val="single" w:sz="6" w:space="0" w:color="auto"/>
              <w:bottom w:val="single" w:sz="4" w:space="0" w:color="auto"/>
              <w:right w:val="single" w:sz="4" w:space="0" w:color="auto"/>
            </w:tcBorders>
            <w:shd w:val="clear" w:color="auto" w:fill="BFBFBF" w:themeFill="background1" w:themeFillShade="BF"/>
          </w:tcPr>
          <w:p w14:paraId="7C72E5BA" w14:textId="77777777" w:rsidR="00636700" w:rsidRPr="00C63F35" w:rsidRDefault="00636700" w:rsidP="00C63F35">
            <w:pPr>
              <w:pStyle w:val="Table10ptHeading-ASDEFCON"/>
              <w:rPr>
                <w:rFonts w:eastAsia="Calibri"/>
              </w:rPr>
            </w:pPr>
            <w:r w:rsidRPr="00C63F35">
              <w:t>Justification for Restriction(s)</w:t>
            </w:r>
          </w:p>
        </w:tc>
      </w:tr>
      <w:tr w:rsidR="00C63F35" w14:paraId="7B350608" w14:textId="77777777" w:rsidTr="00C63F35">
        <w:trPr>
          <w:cantSplit/>
          <w:trHeight w:val="233"/>
        </w:trPr>
        <w:tc>
          <w:tcPr>
            <w:tcW w:w="450" w:type="pct"/>
            <w:tcBorders>
              <w:top w:val="single" w:sz="4" w:space="0" w:color="auto"/>
            </w:tcBorders>
            <w:shd w:val="clear" w:color="auto" w:fill="CCCCCC"/>
          </w:tcPr>
          <w:p w14:paraId="7024B980" w14:textId="77777777" w:rsidR="00636700" w:rsidRPr="00CE3611" w:rsidRDefault="00636700" w:rsidP="00C63F35">
            <w:pPr>
              <w:pStyle w:val="Table10ptHeading-ASDEFCON"/>
              <w:rPr>
                <w:rFonts w:eastAsia="Calibri"/>
              </w:rPr>
            </w:pPr>
            <w:r w:rsidRPr="00CE3611">
              <w:t>(a)</w:t>
            </w:r>
          </w:p>
        </w:tc>
        <w:tc>
          <w:tcPr>
            <w:tcW w:w="393" w:type="pct"/>
            <w:tcBorders>
              <w:top w:val="single" w:sz="4" w:space="0" w:color="auto"/>
            </w:tcBorders>
            <w:shd w:val="clear" w:color="auto" w:fill="CCCCCC"/>
          </w:tcPr>
          <w:p w14:paraId="4BED4D26" w14:textId="77777777" w:rsidR="00636700" w:rsidRPr="00CE3611" w:rsidRDefault="00636700" w:rsidP="00C63F35">
            <w:pPr>
              <w:pStyle w:val="Table10ptHeading-ASDEFCON"/>
              <w:rPr>
                <w:rFonts w:eastAsia="Calibri"/>
              </w:rPr>
            </w:pPr>
            <w:r w:rsidRPr="00CE3611">
              <w:t>(b)</w:t>
            </w:r>
          </w:p>
        </w:tc>
        <w:tc>
          <w:tcPr>
            <w:tcW w:w="541" w:type="pct"/>
            <w:tcBorders>
              <w:top w:val="single" w:sz="4" w:space="0" w:color="auto"/>
            </w:tcBorders>
            <w:shd w:val="clear" w:color="auto" w:fill="CCCCCC"/>
          </w:tcPr>
          <w:p w14:paraId="69B58923" w14:textId="77777777" w:rsidR="00636700" w:rsidRPr="00CE3611" w:rsidRDefault="00636700" w:rsidP="00C63F35">
            <w:pPr>
              <w:pStyle w:val="Table10ptHeading-ASDEFCON"/>
              <w:rPr>
                <w:rFonts w:eastAsia="Calibri"/>
              </w:rPr>
            </w:pPr>
            <w:r w:rsidRPr="00CE3611">
              <w:t>(c)</w:t>
            </w:r>
          </w:p>
        </w:tc>
        <w:tc>
          <w:tcPr>
            <w:tcW w:w="843" w:type="pct"/>
            <w:tcBorders>
              <w:top w:val="single" w:sz="4" w:space="0" w:color="auto"/>
            </w:tcBorders>
            <w:shd w:val="clear" w:color="auto" w:fill="CCCCCC"/>
          </w:tcPr>
          <w:p w14:paraId="745AF7DA" w14:textId="77777777" w:rsidR="00636700" w:rsidRPr="00CE3611" w:rsidRDefault="00636700" w:rsidP="00C63F35">
            <w:pPr>
              <w:pStyle w:val="Table10ptHeading-ASDEFCON"/>
              <w:rPr>
                <w:rFonts w:eastAsia="Calibri"/>
              </w:rPr>
            </w:pPr>
            <w:r w:rsidRPr="00CE3611">
              <w:t>(d)</w:t>
            </w:r>
          </w:p>
        </w:tc>
        <w:tc>
          <w:tcPr>
            <w:tcW w:w="825" w:type="pct"/>
            <w:tcBorders>
              <w:top w:val="single" w:sz="4" w:space="0" w:color="auto"/>
            </w:tcBorders>
            <w:shd w:val="clear" w:color="auto" w:fill="CCCCCC"/>
          </w:tcPr>
          <w:p w14:paraId="60E354DD" w14:textId="77777777" w:rsidR="00636700" w:rsidRPr="00CE3611" w:rsidRDefault="00636700" w:rsidP="00C63F35">
            <w:pPr>
              <w:pStyle w:val="Table10ptHeading-ASDEFCON"/>
              <w:rPr>
                <w:rFonts w:eastAsia="Calibri"/>
              </w:rPr>
            </w:pPr>
            <w:r w:rsidRPr="00CE3611">
              <w:t>(e)</w:t>
            </w:r>
          </w:p>
        </w:tc>
        <w:tc>
          <w:tcPr>
            <w:tcW w:w="845" w:type="pct"/>
            <w:tcBorders>
              <w:top w:val="single" w:sz="4" w:space="0" w:color="auto"/>
            </w:tcBorders>
            <w:shd w:val="clear" w:color="auto" w:fill="CCCCCC"/>
          </w:tcPr>
          <w:p w14:paraId="0C3B8711" w14:textId="77777777" w:rsidR="00636700" w:rsidRPr="00CE3611" w:rsidRDefault="00636700" w:rsidP="00C63F35">
            <w:pPr>
              <w:pStyle w:val="Table10ptHeading-ASDEFCON"/>
              <w:rPr>
                <w:rFonts w:eastAsia="Calibri"/>
              </w:rPr>
            </w:pPr>
            <w:r w:rsidRPr="00CE3611">
              <w:t>(f)</w:t>
            </w:r>
          </w:p>
        </w:tc>
        <w:tc>
          <w:tcPr>
            <w:tcW w:w="1102" w:type="pct"/>
            <w:tcBorders>
              <w:top w:val="single" w:sz="4" w:space="0" w:color="auto"/>
            </w:tcBorders>
            <w:shd w:val="clear" w:color="auto" w:fill="CCCCCC"/>
          </w:tcPr>
          <w:p w14:paraId="62B9566A" w14:textId="77777777" w:rsidR="00636700" w:rsidRPr="00CE3611" w:rsidRDefault="00636700" w:rsidP="00C63F35">
            <w:pPr>
              <w:pStyle w:val="Table10ptHeading-ASDEFCON"/>
              <w:rPr>
                <w:rFonts w:eastAsia="Calibri"/>
              </w:rPr>
            </w:pPr>
            <w:r w:rsidRPr="00CE3611">
              <w:t>(g)</w:t>
            </w:r>
          </w:p>
        </w:tc>
      </w:tr>
      <w:tr w:rsidR="00636700" w:rsidRPr="00C63F35" w14:paraId="11445E25" w14:textId="77777777" w:rsidTr="00C63F35">
        <w:trPr>
          <w:cantSplit/>
          <w:trHeight w:val="590"/>
        </w:trPr>
        <w:tc>
          <w:tcPr>
            <w:tcW w:w="450" w:type="pct"/>
          </w:tcPr>
          <w:p w14:paraId="3C3565D4" w14:textId="2F8C1A85" w:rsidR="00636700" w:rsidRPr="00C63F35" w:rsidRDefault="00C63F35" w:rsidP="00C63F35">
            <w:pPr>
              <w:pStyle w:val="Table10ptText-ASDEFCON"/>
              <w:rPr>
                <w:i/>
              </w:rPr>
            </w:pPr>
            <w:r>
              <w:rPr>
                <w:i/>
              </w:rPr>
              <w:t xml:space="preserve">Example: </w:t>
            </w:r>
            <w:r w:rsidR="00636700" w:rsidRPr="00C63F35">
              <w:rPr>
                <w:i/>
              </w:rPr>
              <w:t>G-B-1</w:t>
            </w:r>
          </w:p>
        </w:tc>
        <w:tc>
          <w:tcPr>
            <w:tcW w:w="393" w:type="pct"/>
          </w:tcPr>
          <w:p w14:paraId="679058D8" w14:textId="77777777" w:rsidR="00636700" w:rsidRPr="00C63F35" w:rsidRDefault="00636700" w:rsidP="00C63F35">
            <w:pPr>
              <w:pStyle w:val="Table10ptText-ASDEFCON"/>
              <w:rPr>
                <w:i/>
              </w:rPr>
            </w:pPr>
            <w:r w:rsidRPr="00C63F35">
              <w:rPr>
                <w:i/>
              </w:rPr>
              <w:t>Contractor</w:t>
            </w:r>
          </w:p>
        </w:tc>
        <w:tc>
          <w:tcPr>
            <w:tcW w:w="541" w:type="pct"/>
          </w:tcPr>
          <w:p w14:paraId="27AD46B7" w14:textId="77777777" w:rsidR="00636700" w:rsidRPr="00C63F35" w:rsidRDefault="00636700" w:rsidP="00C63F35">
            <w:pPr>
              <w:pStyle w:val="Table10ptText-ASDEFCON"/>
              <w:rPr>
                <w:i/>
              </w:rPr>
            </w:pPr>
            <w:r w:rsidRPr="00C63F35">
              <w:rPr>
                <w:i/>
              </w:rPr>
              <w:t>Aircraft Landing System</w:t>
            </w:r>
          </w:p>
        </w:tc>
        <w:tc>
          <w:tcPr>
            <w:tcW w:w="843" w:type="pct"/>
          </w:tcPr>
          <w:p w14:paraId="3D7E91B4" w14:textId="77777777" w:rsidR="00636700" w:rsidRPr="00C63F35" w:rsidRDefault="00636700" w:rsidP="00C63F35">
            <w:pPr>
              <w:pStyle w:val="Table10ptText-ASDEFCON"/>
              <w:rPr>
                <w:i/>
              </w:rPr>
            </w:pPr>
            <w:r w:rsidRPr="00C63F35">
              <w:rPr>
                <w:i/>
              </w:rPr>
              <w:t>Aircraft structural loads and certification data</w:t>
            </w:r>
          </w:p>
        </w:tc>
        <w:tc>
          <w:tcPr>
            <w:tcW w:w="825" w:type="pct"/>
          </w:tcPr>
          <w:p w14:paraId="3BA87B36" w14:textId="77777777" w:rsidR="00636700" w:rsidRPr="00C63F35" w:rsidRDefault="00636700" w:rsidP="00C63F35">
            <w:pPr>
              <w:pStyle w:val="Table10ptText-ASDEFCON"/>
              <w:rPr>
                <w:i/>
              </w:rPr>
            </w:pPr>
            <w:r w:rsidRPr="00C63F35">
              <w:rPr>
                <w:i/>
              </w:rPr>
              <w:t>No</w:t>
            </w:r>
          </w:p>
        </w:tc>
        <w:tc>
          <w:tcPr>
            <w:tcW w:w="845" w:type="pct"/>
          </w:tcPr>
          <w:p w14:paraId="498B91C5" w14:textId="77777777" w:rsidR="00636700" w:rsidRPr="00C63F35" w:rsidRDefault="00636700" w:rsidP="00C63F35">
            <w:pPr>
              <w:pStyle w:val="Table10ptText-ASDEFCON"/>
              <w:rPr>
                <w:i/>
              </w:rPr>
            </w:pPr>
            <w:r w:rsidRPr="00C63F35">
              <w:rPr>
                <w:i/>
              </w:rPr>
              <w:t xml:space="preserve">Licences do not include right to grant </w:t>
            </w:r>
            <w:proofErr w:type="spellStart"/>
            <w:r w:rsidRPr="00C63F35">
              <w:rPr>
                <w:i/>
              </w:rPr>
              <w:t>sublicences</w:t>
            </w:r>
            <w:proofErr w:type="spellEnd"/>
            <w:r w:rsidRPr="00C63F35">
              <w:rPr>
                <w:i/>
              </w:rPr>
              <w:t xml:space="preserve"> for the purpose of a third party modifying the Capability.</w:t>
            </w:r>
          </w:p>
        </w:tc>
        <w:tc>
          <w:tcPr>
            <w:tcW w:w="1102" w:type="pct"/>
          </w:tcPr>
          <w:p w14:paraId="0A641387" w14:textId="77777777" w:rsidR="00636700" w:rsidRPr="00C63F35" w:rsidRDefault="00636700" w:rsidP="00C63F35">
            <w:pPr>
              <w:pStyle w:val="Table10ptText-ASDEFCON"/>
              <w:rPr>
                <w:i/>
              </w:rPr>
            </w:pPr>
            <w:r w:rsidRPr="00C63F35">
              <w:rPr>
                <w:i/>
              </w:rPr>
              <w:t>This is competitively sensitive data as it reveals unique characteristics of the Aircraft Landing System.</w:t>
            </w:r>
          </w:p>
          <w:p w14:paraId="3C4DD72B" w14:textId="77777777" w:rsidR="00636700" w:rsidRPr="00C63F35" w:rsidRDefault="00636700" w:rsidP="00C63F35">
            <w:pPr>
              <w:pStyle w:val="Table10ptText-ASDEFCON"/>
              <w:rPr>
                <w:i/>
              </w:rPr>
            </w:pPr>
          </w:p>
        </w:tc>
      </w:tr>
      <w:tr w:rsidR="00636700" w:rsidRPr="00C63F35" w14:paraId="47878AF7" w14:textId="77777777" w:rsidTr="00C63F35">
        <w:trPr>
          <w:trHeight w:val="590"/>
        </w:trPr>
        <w:tc>
          <w:tcPr>
            <w:tcW w:w="450" w:type="pct"/>
          </w:tcPr>
          <w:p w14:paraId="06DC7CE6" w14:textId="15DA6AB7" w:rsidR="00636700" w:rsidRPr="00C63F35" w:rsidRDefault="00C63F35" w:rsidP="00C63F35">
            <w:pPr>
              <w:pStyle w:val="Table10ptText-ASDEFCON"/>
              <w:rPr>
                <w:i/>
              </w:rPr>
            </w:pPr>
            <w:r>
              <w:rPr>
                <w:i/>
              </w:rPr>
              <w:t xml:space="preserve">Example: </w:t>
            </w:r>
            <w:r w:rsidR="00636700" w:rsidRPr="00C63F35">
              <w:rPr>
                <w:i/>
              </w:rPr>
              <w:t>G-B-2</w:t>
            </w:r>
          </w:p>
        </w:tc>
        <w:tc>
          <w:tcPr>
            <w:tcW w:w="393" w:type="pct"/>
          </w:tcPr>
          <w:p w14:paraId="53B033A8" w14:textId="77777777" w:rsidR="00636700" w:rsidRPr="00C63F35" w:rsidRDefault="00636700" w:rsidP="00C63F35">
            <w:pPr>
              <w:pStyle w:val="Table10ptText-ASDEFCON"/>
              <w:rPr>
                <w:i/>
              </w:rPr>
            </w:pPr>
            <w:r w:rsidRPr="00C63F35">
              <w:rPr>
                <w:i/>
              </w:rPr>
              <w:t>Contractor</w:t>
            </w:r>
          </w:p>
        </w:tc>
        <w:tc>
          <w:tcPr>
            <w:tcW w:w="541" w:type="pct"/>
          </w:tcPr>
          <w:p w14:paraId="29BAA566" w14:textId="77777777" w:rsidR="00636700" w:rsidRPr="00C63F35" w:rsidRDefault="00636700" w:rsidP="00C63F35">
            <w:pPr>
              <w:pStyle w:val="Table10ptText-ASDEFCON"/>
              <w:rPr>
                <w:i/>
              </w:rPr>
            </w:pPr>
            <w:r w:rsidRPr="00C63F35">
              <w:rPr>
                <w:i/>
              </w:rPr>
              <w:t>Combat Management  System</w:t>
            </w:r>
          </w:p>
        </w:tc>
        <w:tc>
          <w:tcPr>
            <w:tcW w:w="843" w:type="pct"/>
          </w:tcPr>
          <w:p w14:paraId="78680D12" w14:textId="77777777" w:rsidR="00636700" w:rsidRPr="00C63F35" w:rsidRDefault="00636700" w:rsidP="00C63F35">
            <w:pPr>
              <w:pStyle w:val="Table10ptText-ASDEFCON"/>
              <w:rPr>
                <w:i/>
              </w:rPr>
            </w:pPr>
            <w:r w:rsidRPr="00C63F35">
              <w:rPr>
                <w:i/>
              </w:rPr>
              <w:t xml:space="preserve">Mission Planning Software </w:t>
            </w:r>
          </w:p>
        </w:tc>
        <w:tc>
          <w:tcPr>
            <w:tcW w:w="825" w:type="pct"/>
          </w:tcPr>
          <w:p w14:paraId="4ACA75A2" w14:textId="77777777" w:rsidR="00636700" w:rsidRPr="00C63F35" w:rsidRDefault="00636700" w:rsidP="00C63F35">
            <w:pPr>
              <w:pStyle w:val="Table10ptText-ASDEFCON"/>
              <w:rPr>
                <w:i/>
              </w:rPr>
            </w:pPr>
            <w:r w:rsidRPr="00C63F35">
              <w:rPr>
                <w:i/>
              </w:rPr>
              <w:t>No</w:t>
            </w:r>
          </w:p>
        </w:tc>
        <w:tc>
          <w:tcPr>
            <w:tcW w:w="845" w:type="pct"/>
          </w:tcPr>
          <w:p w14:paraId="540F98B3" w14:textId="77777777" w:rsidR="00636700" w:rsidRPr="00C63F35" w:rsidRDefault="00636700" w:rsidP="00C63F35">
            <w:pPr>
              <w:pStyle w:val="Table10ptText-ASDEFCON"/>
              <w:rPr>
                <w:i/>
              </w:rPr>
            </w:pPr>
            <w:r w:rsidRPr="00C63F35">
              <w:rPr>
                <w:i/>
              </w:rPr>
              <w:t xml:space="preserve">Licences do not include right to grant </w:t>
            </w:r>
            <w:proofErr w:type="spellStart"/>
            <w:r w:rsidRPr="00C63F35">
              <w:rPr>
                <w:i/>
              </w:rPr>
              <w:t>sublicences</w:t>
            </w:r>
            <w:proofErr w:type="spellEnd"/>
            <w:r w:rsidRPr="00C63F35">
              <w:rPr>
                <w:i/>
              </w:rPr>
              <w:t xml:space="preserve"> for the purpose of modifying, developing or upgrading the Software without the prior written consent of XYZ Pty Ltd.</w:t>
            </w:r>
          </w:p>
        </w:tc>
        <w:tc>
          <w:tcPr>
            <w:tcW w:w="1102" w:type="pct"/>
          </w:tcPr>
          <w:p w14:paraId="7561E47D" w14:textId="77777777" w:rsidR="00636700" w:rsidRPr="00C63F35" w:rsidRDefault="00636700" w:rsidP="00C63F35">
            <w:pPr>
              <w:pStyle w:val="Table10ptText-ASDEFCON"/>
              <w:rPr>
                <w:i/>
              </w:rPr>
            </w:pPr>
            <w:r w:rsidRPr="00C63F35">
              <w:rPr>
                <w:i/>
              </w:rPr>
              <w:t>This is competitively sensitive data.</w:t>
            </w:r>
          </w:p>
        </w:tc>
      </w:tr>
      <w:tr w:rsidR="00636700" w:rsidRPr="00C63F35" w14:paraId="54BD83CB" w14:textId="77777777" w:rsidTr="00C63F35">
        <w:trPr>
          <w:trHeight w:val="590"/>
        </w:trPr>
        <w:tc>
          <w:tcPr>
            <w:tcW w:w="450" w:type="pct"/>
          </w:tcPr>
          <w:p w14:paraId="35EB13CD" w14:textId="3D38DFEE" w:rsidR="00636700" w:rsidRPr="00C63F35" w:rsidRDefault="00C63F35" w:rsidP="00C63F35">
            <w:pPr>
              <w:pStyle w:val="Table10ptText-ASDEFCON"/>
              <w:rPr>
                <w:i/>
              </w:rPr>
            </w:pPr>
            <w:r>
              <w:rPr>
                <w:i/>
              </w:rPr>
              <w:t xml:space="preserve">Example: </w:t>
            </w:r>
            <w:r w:rsidR="00636700" w:rsidRPr="00C63F35">
              <w:rPr>
                <w:i/>
              </w:rPr>
              <w:t>G-B-3</w:t>
            </w:r>
          </w:p>
        </w:tc>
        <w:tc>
          <w:tcPr>
            <w:tcW w:w="393" w:type="pct"/>
          </w:tcPr>
          <w:p w14:paraId="166372CC" w14:textId="77777777" w:rsidR="00636700" w:rsidRPr="00C63F35" w:rsidRDefault="00636700" w:rsidP="00C63F35">
            <w:pPr>
              <w:pStyle w:val="Table10ptText-ASDEFCON"/>
              <w:rPr>
                <w:i/>
              </w:rPr>
            </w:pPr>
            <w:r w:rsidRPr="00C63F35">
              <w:rPr>
                <w:i/>
              </w:rPr>
              <w:t>Contractor</w:t>
            </w:r>
          </w:p>
        </w:tc>
        <w:tc>
          <w:tcPr>
            <w:tcW w:w="541" w:type="pct"/>
          </w:tcPr>
          <w:p w14:paraId="0037AEFD" w14:textId="77777777" w:rsidR="00636700" w:rsidRPr="00C63F35" w:rsidRDefault="00636700" w:rsidP="00C63F35">
            <w:pPr>
              <w:pStyle w:val="Table10ptText-ASDEFCON"/>
              <w:rPr>
                <w:i/>
              </w:rPr>
            </w:pPr>
            <w:r w:rsidRPr="00C63F35">
              <w:rPr>
                <w:i/>
              </w:rPr>
              <w:t>Fuelling System</w:t>
            </w:r>
          </w:p>
        </w:tc>
        <w:tc>
          <w:tcPr>
            <w:tcW w:w="843" w:type="pct"/>
          </w:tcPr>
          <w:p w14:paraId="7340E032" w14:textId="77777777" w:rsidR="00636700" w:rsidRPr="00C63F35" w:rsidRDefault="00636700" w:rsidP="00C63F35">
            <w:pPr>
              <w:pStyle w:val="Table10ptText-ASDEFCON"/>
              <w:rPr>
                <w:i/>
              </w:rPr>
            </w:pPr>
            <w:r w:rsidRPr="00C63F35">
              <w:rPr>
                <w:i/>
              </w:rPr>
              <w:t>Business Process Manual</w:t>
            </w:r>
          </w:p>
        </w:tc>
        <w:tc>
          <w:tcPr>
            <w:tcW w:w="825" w:type="pct"/>
          </w:tcPr>
          <w:p w14:paraId="1AE5D887" w14:textId="77777777" w:rsidR="00636700" w:rsidRPr="00C63F35" w:rsidRDefault="00636700" w:rsidP="00C63F35">
            <w:pPr>
              <w:pStyle w:val="Table10ptText-ASDEFCON"/>
              <w:rPr>
                <w:i/>
              </w:rPr>
            </w:pPr>
            <w:r w:rsidRPr="00C63F35">
              <w:rPr>
                <w:i/>
              </w:rPr>
              <w:t>Yes</w:t>
            </w:r>
          </w:p>
        </w:tc>
        <w:tc>
          <w:tcPr>
            <w:tcW w:w="845" w:type="pct"/>
          </w:tcPr>
          <w:p w14:paraId="7EB0665E" w14:textId="77777777" w:rsidR="00636700" w:rsidRPr="00C63F35" w:rsidRDefault="00636700" w:rsidP="00C63F35">
            <w:pPr>
              <w:pStyle w:val="Table10ptText-ASDEFCON"/>
              <w:rPr>
                <w:i/>
              </w:rPr>
            </w:pPr>
            <w:r w:rsidRPr="00C63F35">
              <w:rPr>
                <w:i/>
              </w:rPr>
              <w:t>N/A</w:t>
            </w:r>
          </w:p>
        </w:tc>
        <w:tc>
          <w:tcPr>
            <w:tcW w:w="1102" w:type="pct"/>
          </w:tcPr>
          <w:p w14:paraId="50540E3F" w14:textId="77777777" w:rsidR="00636700" w:rsidRPr="00C63F35" w:rsidRDefault="00636700" w:rsidP="00C63F35">
            <w:pPr>
              <w:pStyle w:val="Table10ptText-ASDEFCON"/>
              <w:rPr>
                <w:i/>
              </w:rPr>
            </w:pPr>
            <w:r w:rsidRPr="00C63F35">
              <w:rPr>
                <w:i/>
              </w:rPr>
              <w:t xml:space="preserve">Contains competitively sensitive data that are trade secrets and not required to utilise the Product Being Supported. </w:t>
            </w:r>
          </w:p>
          <w:p w14:paraId="43B36885" w14:textId="77777777" w:rsidR="00636700" w:rsidRPr="00C63F35" w:rsidRDefault="00636700" w:rsidP="00C63F35">
            <w:pPr>
              <w:pStyle w:val="Table10ptText-ASDEFCON"/>
              <w:rPr>
                <w:i/>
              </w:rPr>
            </w:pPr>
            <w:r w:rsidRPr="00C63F35">
              <w:rPr>
                <w:i/>
              </w:rPr>
              <w:t>Contractor will directly provide to a recipient where necessary.</w:t>
            </w:r>
          </w:p>
        </w:tc>
      </w:tr>
    </w:tbl>
    <w:p w14:paraId="17A8123A" w14:textId="77777777" w:rsidR="00636700" w:rsidRDefault="00636700" w:rsidP="004652E5">
      <w:pPr>
        <w:pStyle w:val="ASDEFCONNormal"/>
        <w:sectPr w:rsidR="00636700" w:rsidSect="00C63F35">
          <w:pgSz w:w="16840" w:h="11907" w:orient="landscape" w:code="9"/>
          <w:pgMar w:top="1418" w:right="1304" w:bottom="1418" w:left="907" w:header="567" w:footer="283" w:gutter="0"/>
          <w:paperSrc w:first="257" w:other="257"/>
          <w:cols w:space="720"/>
          <w:docGrid w:linePitch="272"/>
        </w:sectPr>
      </w:pPr>
    </w:p>
    <w:p w14:paraId="14050F69" w14:textId="77777777" w:rsidR="00636700" w:rsidRDefault="00636700" w:rsidP="002E67DA">
      <w:pPr>
        <w:pStyle w:val="ASDEFCONTitle"/>
      </w:pPr>
      <w:r w:rsidRPr="00636700">
        <w:t>ANNEX C – KEY COMMERCIAL ITEMS (CORE)</w:t>
      </w:r>
    </w:p>
    <w:p w14:paraId="4895B36A" w14:textId="77777777" w:rsidR="008F567B" w:rsidRDefault="008F567B">
      <w:pPr>
        <w:pStyle w:val="NoteToTenderers-ASDEFCON"/>
      </w:pPr>
      <w:r w:rsidRPr="008F567B">
        <w:t xml:space="preserve">Note to tenderers:  Tenderers are to list all items of Commercial TD or Commercial Software related to a Key Commercial Item procured (or to be procured) as part of the Services in accordance with clause 5.4 of the draft COC, and specify the terms applicable to the licence proposed to be granted for the item.  The tenderer may complete column (f) by reference to other documents from which those terms are ascertainable.  </w:t>
      </w:r>
    </w:p>
    <w:tbl>
      <w:tblPr>
        <w:tblW w:w="5000" w:type="pct"/>
        <w:tblBorders>
          <w:top w:val="single" w:sz="4" w:space="0" w:color="000000"/>
          <w:bottom w:val="single" w:sz="4" w:space="0" w:color="000000"/>
          <w:insideH w:val="single" w:sz="4" w:space="0" w:color="000000"/>
          <w:insideV w:val="single" w:sz="4" w:space="0" w:color="000000"/>
        </w:tblBorders>
        <w:tblLayout w:type="fixed"/>
        <w:tblLook w:val="05A0" w:firstRow="1" w:lastRow="0" w:firstColumn="1" w:lastColumn="1" w:noHBand="0" w:noVBand="1"/>
      </w:tblPr>
      <w:tblGrid>
        <w:gridCol w:w="1463"/>
        <w:gridCol w:w="2159"/>
        <w:gridCol w:w="2670"/>
        <w:gridCol w:w="2108"/>
        <w:gridCol w:w="2248"/>
        <w:gridCol w:w="3971"/>
      </w:tblGrid>
      <w:tr w:rsidR="00CE3611" w14:paraId="234FF40B" w14:textId="77777777" w:rsidTr="002E67DA">
        <w:trPr>
          <w:trHeight w:val="1147"/>
        </w:trPr>
        <w:tc>
          <w:tcPr>
            <w:tcW w:w="500" w:type="pct"/>
            <w:tcBorders>
              <w:top w:val="single" w:sz="4" w:space="0" w:color="auto"/>
              <w:left w:val="single" w:sz="4" w:space="0" w:color="auto"/>
              <w:bottom w:val="single" w:sz="4" w:space="0" w:color="auto"/>
              <w:right w:val="single" w:sz="6" w:space="0" w:color="auto"/>
              <w:tl2br w:val="nil"/>
              <w:tr2bl w:val="nil"/>
            </w:tcBorders>
            <w:shd w:val="clear" w:color="000000" w:fill="BFBFBF" w:themeFill="background1" w:themeFillShade="BF"/>
          </w:tcPr>
          <w:p w14:paraId="28490F28" w14:textId="77777777" w:rsidR="008A40B9" w:rsidRPr="002E67DA" w:rsidRDefault="008A40B9" w:rsidP="002E67DA">
            <w:pPr>
              <w:pStyle w:val="Table10ptHeading-ASDEFCON"/>
              <w:rPr>
                <w:rFonts w:eastAsia="Calibri"/>
              </w:rPr>
            </w:pPr>
            <w:r w:rsidRPr="002E67DA">
              <w:rPr>
                <w:rFonts w:eastAsia="Calibri"/>
              </w:rPr>
              <w:t>Unique Line Item Description</w:t>
            </w:r>
          </w:p>
        </w:tc>
        <w:tc>
          <w:tcPr>
            <w:tcW w:w="738" w:type="pct"/>
            <w:tcBorders>
              <w:top w:val="single" w:sz="4" w:space="0" w:color="auto"/>
              <w:left w:val="single" w:sz="6" w:space="0" w:color="auto"/>
              <w:bottom w:val="single" w:sz="4" w:space="0" w:color="auto"/>
              <w:right w:val="single" w:sz="6" w:space="0" w:color="auto"/>
              <w:tl2br w:val="nil"/>
              <w:tr2bl w:val="nil"/>
            </w:tcBorders>
            <w:shd w:val="clear" w:color="000000" w:fill="BFBFBF" w:themeFill="background1" w:themeFillShade="BF"/>
          </w:tcPr>
          <w:p w14:paraId="15D733D8" w14:textId="77777777" w:rsidR="008A40B9" w:rsidRPr="002E67DA" w:rsidRDefault="008A40B9" w:rsidP="002E67DA">
            <w:pPr>
              <w:pStyle w:val="Table10ptHeading-ASDEFCON"/>
              <w:rPr>
                <w:rFonts w:eastAsia="Calibri"/>
              </w:rPr>
            </w:pPr>
            <w:r w:rsidRPr="002E67DA">
              <w:rPr>
                <w:rFonts w:eastAsia="Calibri"/>
              </w:rPr>
              <w:t>Description of Key Commercial Item System/</w:t>
            </w:r>
            <w:r w:rsidRPr="002E67DA">
              <w:rPr>
                <w:rFonts w:eastAsia="Calibri"/>
              </w:rPr>
              <w:br/>
              <w:t>Subsystem/ Component/CI Name</w:t>
            </w:r>
          </w:p>
        </w:tc>
        <w:tc>
          <w:tcPr>
            <w:tcW w:w="913" w:type="pct"/>
            <w:tcBorders>
              <w:top w:val="single" w:sz="4" w:space="0" w:color="auto"/>
              <w:left w:val="single" w:sz="6" w:space="0" w:color="auto"/>
              <w:bottom w:val="single" w:sz="4" w:space="0" w:color="auto"/>
              <w:right w:val="single" w:sz="6" w:space="0" w:color="auto"/>
              <w:tl2br w:val="nil"/>
              <w:tr2bl w:val="nil"/>
            </w:tcBorders>
            <w:shd w:val="clear" w:color="000000" w:fill="BFBFBF" w:themeFill="background1" w:themeFillShade="BF"/>
          </w:tcPr>
          <w:p w14:paraId="7BECB5CA" w14:textId="77777777" w:rsidR="008A40B9" w:rsidRPr="002E67DA" w:rsidRDefault="008A40B9" w:rsidP="002E67DA">
            <w:pPr>
              <w:pStyle w:val="Table10ptHeading-ASDEFCON"/>
              <w:rPr>
                <w:rFonts w:eastAsia="Calibri"/>
              </w:rPr>
            </w:pPr>
            <w:r w:rsidRPr="002E67DA">
              <w:rPr>
                <w:rFonts w:eastAsia="Calibri"/>
              </w:rPr>
              <w:t>Description of related TD or Software (including version number and use)</w:t>
            </w:r>
          </w:p>
        </w:tc>
        <w:tc>
          <w:tcPr>
            <w:tcW w:w="721" w:type="pct"/>
            <w:tcBorders>
              <w:top w:val="single" w:sz="4" w:space="0" w:color="auto"/>
              <w:left w:val="single" w:sz="6" w:space="0" w:color="auto"/>
              <w:bottom w:val="single" w:sz="4" w:space="0" w:color="auto"/>
              <w:right w:val="single" w:sz="6" w:space="0" w:color="auto"/>
              <w:tl2br w:val="nil"/>
              <w:tr2bl w:val="nil"/>
            </w:tcBorders>
            <w:shd w:val="clear" w:color="000000" w:fill="BFBFBF" w:themeFill="background1" w:themeFillShade="BF"/>
          </w:tcPr>
          <w:p w14:paraId="4306FBCC" w14:textId="77777777" w:rsidR="008A40B9" w:rsidRPr="002E67DA" w:rsidRDefault="008A40B9" w:rsidP="002E67DA">
            <w:pPr>
              <w:pStyle w:val="Table10ptHeading-ASDEFCON"/>
              <w:rPr>
                <w:rFonts w:eastAsia="Calibri"/>
              </w:rPr>
            </w:pPr>
            <w:r w:rsidRPr="002E67DA">
              <w:rPr>
                <w:rFonts w:eastAsia="Calibri"/>
              </w:rPr>
              <w:t>Details of Approved Subcontractor or relevant Related Body Corporate</w:t>
            </w:r>
          </w:p>
        </w:tc>
        <w:tc>
          <w:tcPr>
            <w:tcW w:w="769" w:type="pct"/>
            <w:tcBorders>
              <w:top w:val="single" w:sz="4" w:space="0" w:color="auto"/>
              <w:left w:val="single" w:sz="6" w:space="0" w:color="auto"/>
              <w:bottom w:val="single" w:sz="4" w:space="0" w:color="auto"/>
              <w:right w:val="single" w:sz="6" w:space="0" w:color="auto"/>
              <w:tl2br w:val="nil"/>
              <w:tr2bl w:val="nil"/>
            </w:tcBorders>
            <w:shd w:val="clear" w:color="000000" w:fill="BFBFBF" w:themeFill="background1" w:themeFillShade="BF"/>
          </w:tcPr>
          <w:p w14:paraId="7DF68CDC" w14:textId="77777777" w:rsidR="008A40B9" w:rsidRPr="002E67DA" w:rsidRDefault="008A40B9" w:rsidP="002E67DA">
            <w:pPr>
              <w:pStyle w:val="Table10ptHeading-ASDEFCON"/>
              <w:rPr>
                <w:rFonts w:eastAsia="Calibri"/>
              </w:rPr>
            </w:pPr>
            <w:r w:rsidRPr="002E67DA">
              <w:rPr>
                <w:rFonts w:eastAsia="Calibri"/>
              </w:rPr>
              <w:t>Owner or Licensor</w:t>
            </w:r>
          </w:p>
          <w:p w14:paraId="7686C642" w14:textId="77777777" w:rsidR="008A40B9" w:rsidRPr="002E67DA" w:rsidRDefault="008A40B9" w:rsidP="002E67DA">
            <w:pPr>
              <w:pStyle w:val="Table10ptHeading-ASDEFCON"/>
              <w:rPr>
                <w:rFonts w:eastAsia="Calibri"/>
              </w:rPr>
            </w:pPr>
          </w:p>
        </w:tc>
        <w:tc>
          <w:tcPr>
            <w:tcW w:w="1357" w:type="pct"/>
            <w:tcBorders>
              <w:top w:val="single" w:sz="4" w:space="0" w:color="auto"/>
              <w:left w:val="single" w:sz="6" w:space="0" w:color="auto"/>
              <w:bottom w:val="single" w:sz="4" w:space="0" w:color="auto"/>
              <w:right w:val="single" w:sz="4" w:space="0" w:color="auto"/>
              <w:tl2br w:val="nil"/>
              <w:tr2bl w:val="nil"/>
            </w:tcBorders>
            <w:shd w:val="clear" w:color="000000" w:fill="BFBFBF" w:themeFill="background1" w:themeFillShade="BF"/>
          </w:tcPr>
          <w:p w14:paraId="2B70D960" w14:textId="77777777" w:rsidR="008A40B9" w:rsidRPr="002E67DA" w:rsidRDefault="008A40B9" w:rsidP="002E67DA">
            <w:pPr>
              <w:pStyle w:val="Table10ptHeading-ASDEFCON"/>
              <w:rPr>
                <w:rFonts w:eastAsia="Calibri"/>
              </w:rPr>
            </w:pPr>
            <w:r w:rsidRPr="002E67DA">
              <w:rPr>
                <w:rFonts w:eastAsia="Calibri"/>
              </w:rPr>
              <w:t>Licence Terms</w:t>
            </w:r>
          </w:p>
        </w:tc>
      </w:tr>
      <w:tr w:rsidR="00CE3611" w14:paraId="03399CDF" w14:textId="77777777" w:rsidTr="002E67DA">
        <w:tc>
          <w:tcPr>
            <w:tcW w:w="500" w:type="pct"/>
            <w:tcBorders>
              <w:top w:val="single" w:sz="4" w:space="0" w:color="auto"/>
              <w:left w:val="single" w:sz="4" w:space="0" w:color="000000"/>
              <w:bottom w:val="single" w:sz="4" w:space="0" w:color="000000"/>
              <w:right w:val="single" w:sz="4" w:space="0" w:color="000000"/>
              <w:tl2br w:val="nil"/>
              <w:tr2bl w:val="nil"/>
            </w:tcBorders>
            <w:shd w:val="clear" w:color="auto" w:fill="D9D9D9"/>
          </w:tcPr>
          <w:p w14:paraId="4D521E5D" w14:textId="77777777" w:rsidR="008A40B9" w:rsidRDefault="008A40B9" w:rsidP="002E67DA">
            <w:pPr>
              <w:pStyle w:val="Table10ptHeading-ASDEFCON"/>
            </w:pPr>
            <w:r>
              <w:t>(a)</w:t>
            </w:r>
          </w:p>
        </w:tc>
        <w:tc>
          <w:tcPr>
            <w:tcW w:w="738" w:type="pct"/>
            <w:tcBorders>
              <w:top w:val="single" w:sz="4" w:space="0" w:color="auto"/>
            </w:tcBorders>
            <w:shd w:val="clear" w:color="auto" w:fill="D9D9D9"/>
          </w:tcPr>
          <w:p w14:paraId="6263C3DA" w14:textId="77777777" w:rsidR="008A40B9" w:rsidRDefault="008A40B9" w:rsidP="002E67DA">
            <w:pPr>
              <w:pStyle w:val="Table10ptHeading-ASDEFCON"/>
            </w:pPr>
            <w:r>
              <w:t>(b)</w:t>
            </w:r>
          </w:p>
        </w:tc>
        <w:tc>
          <w:tcPr>
            <w:tcW w:w="913" w:type="pct"/>
            <w:tcBorders>
              <w:top w:val="single" w:sz="4" w:space="0" w:color="auto"/>
            </w:tcBorders>
            <w:shd w:val="clear" w:color="auto" w:fill="D9D9D9"/>
          </w:tcPr>
          <w:p w14:paraId="285D7BE1" w14:textId="77777777" w:rsidR="008A40B9" w:rsidRDefault="008A40B9" w:rsidP="002E67DA">
            <w:pPr>
              <w:pStyle w:val="Table10ptHeading-ASDEFCON"/>
            </w:pPr>
            <w:r>
              <w:t>(c)</w:t>
            </w:r>
          </w:p>
        </w:tc>
        <w:tc>
          <w:tcPr>
            <w:tcW w:w="721" w:type="pct"/>
            <w:tcBorders>
              <w:top w:val="single" w:sz="4" w:space="0" w:color="auto"/>
            </w:tcBorders>
            <w:shd w:val="clear" w:color="auto" w:fill="D9D9D9"/>
          </w:tcPr>
          <w:p w14:paraId="25663FFB" w14:textId="77777777" w:rsidR="008A40B9" w:rsidRDefault="008A40B9" w:rsidP="002E67DA">
            <w:pPr>
              <w:pStyle w:val="Table10ptHeading-ASDEFCON"/>
            </w:pPr>
            <w:r>
              <w:t>(d)</w:t>
            </w:r>
          </w:p>
        </w:tc>
        <w:tc>
          <w:tcPr>
            <w:tcW w:w="769" w:type="pct"/>
            <w:tcBorders>
              <w:top w:val="single" w:sz="4" w:space="0" w:color="auto"/>
            </w:tcBorders>
            <w:shd w:val="clear" w:color="auto" w:fill="D9D9D9"/>
          </w:tcPr>
          <w:p w14:paraId="5EB14078" w14:textId="77777777" w:rsidR="008A40B9" w:rsidRDefault="008A40B9" w:rsidP="002E67DA">
            <w:pPr>
              <w:pStyle w:val="Table10ptHeading-ASDEFCON"/>
            </w:pPr>
            <w:r>
              <w:t>(e)</w:t>
            </w:r>
          </w:p>
        </w:tc>
        <w:tc>
          <w:tcPr>
            <w:tcW w:w="1357" w:type="pct"/>
            <w:tcBorders>
              <w:top w:val="single" w:sz="4" w:space="0" w:color="auto"/>
              <w:left w:val="single" w:sz="4" w:space="0" w:color="000000"/>
              <w:bottom w:val="single" w:sz="4" w:space="0" w:color="000000"/>
              <w:right w:val="single" w:sz="4" w:space="0" w:color="000000"/>
              <w:tl2br w:val="nil"/>
              <w:tr2bl w:val="nil"/>
            </w:tcBorders>
            <w:shd w:val="clear" w:color="auto" w:fill="D9D9D9"/>
          </w:tcPr>
          <w:p w14:paraId="510335F3" w14:textId="77777777" w:rsidR="008A40B9" w:rsidRDefault="008A40B9" w:rsidP="002E67DA">
            <w:pPr>
              <w:pStyle w:val="Table10ptHeading-ASDEFCON"/>
            </w:pPr>
            <w:r>
              <w:t>(f)</w:t>
            </w:r>
          </w:p>
        </w:tc>
      </w:tr>
      <w:tr w:rsidR="008A40B9" w14:paraId="2007C1C6" w14:textId="77777777" w:rsidTr="002E67DA">
        <w:tc>
          <w:tcPr>
            <w:tcW w:w="500" w:type="pct"/>
            <w:tcBorders>
              <w:left w:val="single" w:sz="4" w:space="0" w:color="000000"/>
              <w:bottom w:val="single" w:sz="4" w:space="0" w:color="000000"/>
              <w:right w:val="single" w:sz="4" w:space="0" w:color="000000"/>
              <w:tl2br w:val="nil"/>
              <w:tr2bl w:val="nil"/>
            </w:tcBorders>
            <w:shd w:val="clear" w:color="auto" w:fill="auto"/>
          </w:tcPr>
          <w:p w14:paraId="5443D893" w14:textId="581EAE61" w:rsidR="008A40B9" w:rsidRPr="00C63F35" w:rsidRDefault="00C63F35" w:rsidP="002E67DA">
            <w:pPr>
              <w:pStyle w:val="Table10ptText-ASDEFCON"/>
              <w:rPr>
                <w:i/>
              </w:rPr>
            </w:pPr>
            <w:r>
              <w:rPr>
                <w:i/>
              </w:rPr>
              <w:t>Example:</w:t>
            </w:r>
            <w:r>
              <w:rPr>
                <w:i/>
              </w:rPr>
              <w:br/>
            </w:r>
            <w:r w:rsidR="008A40B9" w:rsidRPr="00C63F35">
              <w:rPr>
                <w:i/>
              </w:rPr>
              <w:t>G-C-1</w:t>
            </w:r>
          </w:p>
        </w:tc>
        <w:tc>
          <w:tcPr>
            <w:tcW w:w="738" w:type="pct"/>
            <w:shd w:val="clear" w:color="auto" w:fill="auto"/>
          </w:tcPr>
          <w:p w14:paraId="49D856C5" w14:textId="77777777" w:rsidR="008A40B9" w:rsidRPr="00C63F35" w:rsidRDefault="008A40B9" w:rsidP="002E67DA">
            <w:pPr>
              <w:pStyle w:val="Table10ptText-ASDEFCON"/>
              <w:rPr>
                <w:i/>
              </w:rPr>
            </w:pPr>
            <w:r w:rsidRPr="00C63F35">
              <w:rPr>
                <w:i/>
              </w:rPr>
              <w:t>Environmental Management System</w:t>
            </w:r>
          </w:p>
        </w:tc>
        <w:tc>
          <w:tcPr>
            <w:tcW w:w="913" w:type="pct"/>
            <w:shd w:val="clear" w:color="auto" w:fill="auto"/>
          </w:tcPr>
          <w:p w14:paraId="0B85AC78" w14:textId="77777777" w:rsidR="008A40B9" w:rsidRPr="00C63F35" w:rsidRDefault="008A40B9" w:rsidP="002E67DA">
            <w:pPr>
              <w:pStyle w:val="Table10ptText-ASDEFCON"/>
              <w:rPr>
                <w:i/>
              </w:rPr>
            </w:pPr>
            <w:r w:rsidRPr="00C63F35">
              <w:rPr>
                <w:i/>
              </w:rPr>
              <w:t>XYZ Software V8.5 used in Support System</w:t>
            </w:r>
          </w:p>
        </w:tc>
        <w:tc>
          <w:tcPr>
            <w:tcW w:w="721" w:type="pct"/>
            <w:shd w:val="clear" w:color="auto" w:fill="auto"/>
          </w:tcPr>
          <w:p w14:paraId="22363676" w14:textId="77777777" w:rsidR="008A40B9" w:rsidRPr="00C63F35" w:rsidRDefault="008A40B9" w:rsidP="002E67DA">
            <w:pPr>
              <w:pStyle w:val="Table10ptText-ASDEFCON"/>
              <w:rPr>
                <w:i/>
              </w:rPr>
            </w:pPr>
            <w:r w:rsidRPr="00C63F35">
              <w:rPr>
                <w:i/>
              </w:rPr>
              <w:t>Easy Breathe Pty Ltd.</w:t>
            </w:r>
          </w:p>
        </w:tc>
        <w:tc>
          <w:tcPr>
            <w:tcW w:w="769" w:type="pct"/>
            <w:shd w:val="clear" w:color="auto" w:fill="auto"/>
          </w:tcPr>
          <w:p w14:paraId="14D40F8E" w14:textId="77777777" w:rsidR="008A40B9" w:rsidRPr="00C63F35" w:rsidRDefault="008A40B9" w:rsidP="002E67DA">
            <w:pPr>
              <w:pStyle w:val="Table10ptText-ASDEFCON"/>
              <w:rPr>
                <w:i/>
              </w:rPr>
            </w:pPr>
            <w:r w:rsidRPr="00C63F35">
              <w:rPr>
                <w:i/>
              </w:rPr>
              <w:t>Easy Breathe Pty Ltd.</w:t>
            </w:r>
          </w:p>
        </w:tc>
        <w:tc>
          <w:tcPr>
            <w:tcW w:w="1357" w:type="pct"/>
            <w:tcBorders>
              <w:left w:val="single" w:sz="4" w:space="0" w:color="000000"/>
              <w:bottom w:val="single" w:sz="4" w:space="0" w:color="000000"/>
              <w:right w:val="single" w:sz="4" w:space="0" w:color="000000"/>
              <w:tl2br w:val="nil"/>
              <w:tr2bl w:val="nil"/>
            </w:tcBorders>
            <w:shd w:val="clear" w:color="auto" w:fill="auto"/>
          </w:tcPr>
          <w:p w14:paraId="26658764" w14:textId="77777777" w:rsidR="008A40B9" w:rsidRPr="00C63F35" w:rsidRDefault="008A40B9" w:rsidP="002E67DA">
            <w:pPr>
              <w:pStyle w:val="Table10ptText-ASDEFCON"/>
              <w:rPr>
                <w:i/>
              </w:rPr>
            </w:pPr>
            <w:r w:rsidRPr="00C63F35">
              <w:rPr>
                <w:i/>
              </w:rPr>
              <w:t>Same terms as per clause 5.4 except no permission to sublicense to Good Air Pty Ltd.</w:t>
            </w:r>
          </w:p>
        </w:tc>
      </w:tr>
      <w:tr w:rsidR="008A40B9" w14:paraId="55E28B40" w14:textId="77777777" w:rsidTr="002E67DA">
        <w:tc>
          <w:tcPr>
            <w:tcW w:w="500" w:type="pct"/>
            <w:tcBorders>
              <w:left w:val="single" w:sz="4" w:space="0" w:color="000000"/>
              <w:bottom w:val="single" w:sz="4" w:space="0" w:color="000000"/>
              <w:right w:val="single" w:sz="4" w:space="0" w:color="000000"/>
              <w:tl2br w:val="nil"/>
              <w:tr2bl w:val="nil"/>
            </w:tcBorders>
            <w:shd w:val="clear" w:color="auto" w:fill="auto"/>
          </w:tcPr>
          <w:p w14:paraId="64A1967B" w14:textId="00727325" w:rsidR="008A40B9" w:rsidRPr="00C63F35" w:rsidRDefault="00C63F35" w:rsidP="002E67DA">
            <w:pPr>
              <w:pStyle w:val="Table10ptText-ASDEFCON"/>
              <w:rPr>
                <w:i/>
              </w:rPr>
            </w:pPr>
            <w:r>
              <w:rPr>
                <w:i/>
              </w:rPr>
              <w:t>Example:</w:t>
            </w:r>
            <w:r>
              <w:rPr>
                <w:i/>
              </w:rPr>
              <w:br/>
            </w:r>
            <w:r w:rsidR="008A40B9" w:rsidRPr="00C63F35">
              <w:rPr>
                <w:i/>
              </w:rPr>
              <w:t>G-C-2</w:t>
            </w:r>
          </w:p>
        </w:tc>
        <w:tc>
          <w:tcPr>
            <w:tcW w:w="738" w:type="pct"/>
            <w:shd w:val="clear" w:color="auto" w:fill="auto"/>
          </w:tcPr>
          <w:p w14:paraId="2616C673" w14:textId="77777777" w:rsidR="008A40B9" w:rsidRPr="00C63F35" w:rsidRDefault="008A40B9" w:rsidP="002E67DA">
            <w:pPr>
              <w:pStyle w:val="Table10ptText-ASDEFCON"/>
              <w:rPr>
                <w:i/>
              </w:rPr>
            </w:pPr>
            <w:r w:rsidRPr="00C63F35">
              <w:rPr>
                <w:i/>
              </w:rPr>
              <w:t>Aircraft Tank Cleaning System</w:t>
            </w:r>
          </w:p>
        </w:tc>
        <w:tc>
          <w:tcPr>
            <w:tcW w:w="913" w:type="pct"/>
            <w:shd w:val="clear" w:color="auto" w:fill="auto"/>
          </w:tcPr>
          <w:p w14:paraId="52C7F47B" w14:textId="77777777" w:rsidR="008A40B9" w:rsidRPr="00C63F35" w:rsidRDefault="008A40B9" w:rsidP="002E67DA">
            <w:pPr>
              <w:pStyle w:val="Table10ptText-ASDEFCON"/>
              <w:rPr>
                <w:i/>
              </w:rPr>
            </w:pPr>
            <w:r w:rsidRPr="00C63F35">
              <w:rPr>
                <w:i/>
              </w:rPr>
              <w:t>Maintenance Manual for Aircraft Cleaning System</w:t>
            </w:r>
          </w:p>
        </w:tc>
        <w:tc>
          <w:tcPr>
            <w:tcW w:w="721" w:type="pct"/>
            <w:shd w:val="clear" w:color="auto" w:fill="auto"/>
          </w:tcPr>
          <w:p w14:paraId="5BFAF031" w14:textId="77777777" w:rsidR="008A40B9" w:rsidRPr="00C63F35" w:rsidRDefault="008A40B9" w:rsidP="002E67DA">
            <w:pPr>
              <w:pStyle w:val="Table10ptText-ASDEFCON"/>
              <w:rPr>
                <w:i/>
              </w:rPr>
            </w:pPr>
            <w:r w:rsidRPr="00C63F35">
              <w:rPr>
                <w:i/>
              </w:rPr>
              <w:t>Clean Landing Pty Ltd.</w:t>
            </w:r>
          </w:p>
        </w:tc>
        <w:tc>
          <w:tcPr>
            <w:tcW w:w="769" w:type="pct"/>
            <w:shd w:val="clear" w:color="auto" w:fill="auto"/>
          </w:tcPr>
          <w:p w14:paraId="44DD7C04" w14:textId="77777777" w:rsidR="008A40B9" w:rsidRPr="00C63F35" w:rsidRDefault="008A40B9" w:rsidP="002E67DA">
            <w:pPr>
              <w:pStyle w:val="Table10ptText-ASDEFCON"/>
              <w:rPr>
                <w:i/>
              </w:rPr>
            </w:pPr>
            <w:r w:rsidRPr="00C63F35">
              <w:rPr>
                <w:i/>
              </w:rPr>
              <w:t>Clear Landing US Inc.</w:t>
            </w:r>
          </w:p>
        </w:tc>
        <w:tc>
          <w:tcPr>
            <w:tcW w:w="1357" w:type="pct"/>
            <w:tcBorders>
              <w:left w:val="single" w:sz="4" w:space="0" w:color="000000"/>
              <w:bottom w:val="single" w:sz="4" w:space="0" w:color="000000"/>
              <w:right w:val="single" w:sz="4" w:space="0" w:color="000000"/>
              <w:tl2br w:val="nil"/>
              <w:tr2bl w:val="nil"/>
            </w:tcBorders>
            <w:shd w:val="clear" w:color="auto" w:fill="auto"/>
          </w:tcPr>
          <w:p w14:paraId="7FEB74B9" w14:textId="145A2902" w:rsidR="008A40B9" w:rsidRPr="00C63F35" w:rsidRDefault="008A40B9" w:rsidP="002E67DA">
            <w:pPr>
              <w:pStyle w:val="Table10ptText-ASDEFCON"/>
              <w:rPr>
                <w:i/>
              </w:rPr>
            </w:pPr>
            <w:r w:rsidRPr="00C63F35">
              <w:rPr>
                <w:i/>
              </w:rPr>
              <w:t xml:space="preserve">Terms and conditions are as detailed at </w:t>
            </w:r>
            <w:hyperlink r:id="rId12" w:history="1">
              <w:r w:rsidRPr="00C63F35">
                <w:rPr>
                  <w:rStyle w:val="Hyperlink"/>
                  <w:rFonts w:cs="Arial"/>
                  <w:i/>
                </w:rPr>
                <w:t>www.cleanlanding.com/manuals/HCS/terms</w:t>
              </w:r>
            </w:hyperlink>
            <w:r w:rsidRPr="00C63F35">
              <w:rPr>
                <w:i/>
              </w:rPr>
              <w:t xml:space="preserve"> and conditions.aspx as at 1 July 2018.</w:t>
            </w:r>
          </w:p>
          <w:p w14:paraId="06E9E428" w14:textId="77777777" w:rsidR="008A40B9" w:rsidRPr="00C63F35" w:rsidRDefault="008A40B9" w:rsidP="002E67DA">
            <w:pPr>
              <w:pStyle w:val="Table10ptText-ASDEFCON"/>
              <w:rPr>
                <w:i/>
              </w:rPr>
            </w:pPr>
            <w:r w:rsidRPr="00C63F35">
              <w:rPr>
                <w:i/>
              </w:rPr>
              <w:t xml:space="preserve">The Commonwealth must pay to Clean Landing US Inc. an annual licence fee of $2,000.00 for each year the system is retained and used by a different support contractor after Contract expiry. </w:t>
            </w:r>
          </w:p>
        </w:tc>
      </w:tr>
    </w:tbl>
    <w:p w14:paraId="766559FF" w14:textId="77777777" w:rsidR="00AE7E07" w:rsidRDefault="00AE7E07" w:rsidP="008F567B">
      <w:pPr>
        <w:pStyle w:val="ASDEFCONNormal"/>
        <w:sectPr w:rsidR="00AE7E07" w:rsidSect="00C63F35">
          <w:footerReference w:type="default" r:id="rId13"/>
          <w:pgSz w:w="16840" w:h="11907" w:orient="landscape" w:code="9"/>
          <w:pgMar w:top="1418" w:right="1304" w:bottom="1418" w:left="907" w:header="567" w:footer="283" w:gutter="0"/>
          <w:paperSrc w:first="257" w:other="257"/>
          <w:pgNumType w:start="1"/>
          <w:cols w:space="720"/>
          <w:docGrid w:linePitch="272"/>
        </w:sectPr>
      </w:pPr>
    </w:p>
    <w:p w14:paraId="5A30E0E3" w14:textId="0CB74213" w:rsidR="00AE7E07" w:rsidRDefault="00AE7E07" w:rsidP="002E67DA">
      <w:pPr>
        <w:pStyle w:val="ASDEFCONTitle"/>
      </w:pPr>
      <w:r w:rsidRPr="00AE7E07">
        <w:t>ANNEX D – COMMONWEALTH TD AND COMMONWEALTH SOFTWARE (CORE)</w:t>
      </w:r>
    </w:p>
    <w:p w14:paraId="2D9AB0B6" w14:textId="06649403" w:rsidR="00AE7E07" w:rsidRPr="00AE7E07" w:rsidRDefault="00AE7E07" w:rsidP="002E67DA">
      <w:pPr>
        <w:pStyle w:val="NoteToDrafters-ASDEFCON"/>
      </w:pPr>
      <w:r w:rsidRPr="00AE7E07">
        <w:t>Note to drafters:  The Commonwealth’s default position is to not own IP created under the Contract or a Subcontract.  However, in limited ca</w:t>
      </w:r>
      <w:r w:rsidR="002E67DA">
        <w:t>ses for national security and/</w:t>
      </w:r>
      <w:r w:rsidRPr="00AE7E07">
        <w:t xml:space="preserve">or strategic interest reasons, the Commonwealth can require ownership of IP in specific items of TD or Software.  </w:t>
      </w:r>
    </w:p>
    <w:p w14:paraId="227A0C49" w14:textId="77777777" w:rsidR="00AE7E07" w:rsidRPr="00AE7E07" w:rsidRDefault="00AE7E07" w:rsidP="002E67DA">
      <w:pPr>
        <w:pStyle w:val="NoteToDrafters-ASDEFCON"/>
      </w:pPr>
      <w:r w:rsidRPr="00AE7E07">
        <w:t xml:space="preserve">In the Support context, the Commonwealth may elect to own records created by the Contractor, such as supply records which may include maintenance logs, defect reports and demands for spares.  However, if the licence under clause 5.3 of the COC is adequate for the Commonwealth's purposes, the Commonwealth should not require ownership of those records. </w:t>
      </w:r>
    </w:p>
    <w:p w14:paraId="054CD283" w14:textId="77777777" w:rsidR="00AE7E07" w:rsidRDefault="00AE7E07" w:rsidP="002E67DA">
      <w:pPr>
        <w:pStyle w:val="NoteToDrafters-ASDEFCON"/>
      </w:pPr>
      <w:r w:rsidRPr="00AE7E07">
        <w:t xml:space="preserve">For any TD or Software that is listed in this Annex D, any new IP in that TD or Software ownership is assigned to the Commonwealth or its nominee under clause 5.1.3 of the draft COC.  Column (d) should describe the class or type in sufficient detail as to enable the identification of TD or Software that comes within the relevant class.  Column (b) is to include a cross reference to the Approved TDL or other Contract document or Deliverable, where the relevant TD or Software is to be listed in greater detail. </w:t>
      </w:r>
    </w:p>
    <w:p w14:paraId="15200139" w14:textId="77777777" w:rsidR="00AE7E07" w:rsidRDefault="00AE7E07" w:rsidP="002E67DA">
      <w:pPr>
        <w:pStyle w:val="NoteToTenderers-ASDEFCON"/>
      </w:pPr>
      <w:r>
        <w:t xml:space="preserve">Note to tenderers:  Tenderers are to describe in column (d) of this Annex D, the classes or types of TD or Software (if not already specified by the Commonwealth) that will be created as part of the Services being provided in relation to the Products Being Supported shown below in column (c).  For each item of TD or Software that falls within the class or type listed in column (d), the ownership of IP relating to that item will be assigned to the Commonwealth.  The relevant TD or Software is referred to as Commonwealth TD or Commonwealth Software (as applicable). </w:t>
      </w:r>
    </w:p>
    <w:p w14:paraId="07DBA587" w14:textId="77777777" w:rsidR="00AE7E07" w:rsidRDefault="00AE7E07" w:rsidP="002E67DA">
      <w:pPr>
        <w:pStyle w:val="NoteToTenderers-ASDEFCON"/>
      </w:pPr>
      <w:r>
        <w:t>If any Commonwealth TD or Commonwealth Software contains IP owned by the Tenderer or a proposed subcontractor (being IP in existence prior to the Effective Date or created outside the Contract and Subcontracts), the Contractor is to grant a licence to the Commonwealth of that IP under clause 5.3 of the draft COC (subject to any proposed restrictions listed in Annex B).  Tenderers should note that such restrictions should not prevent the use of the Commonwealth TD or Commonwealth Software as provided for in the Contract (see clause 5.16.2b of the draft COC).</w:t>
      </w:r>
    </w:p>
    <w:p w14:paraId="02490E90" w14:textId="77777777" w:rsidR="00AE7E07" w:rsidRDefault="00AE7E07">
      <w:pPr>
        <w:pStyle w:val="NoteToTenderers-ASDEFCON"/>
      </w:pPr>
      <w:r>
        <w:t>This Annex D does not deal with licences for GFM and Products Being Supported that are provided by the Commonwealth to the Contractor (see clause 5.6 of the draft COC and Attachment E).</w:t>
      </w:r>
    </w:p>
    <w:p w14:paraId="64F5A590" w14:textId="77777777" w:rsidR="00AE7E07" w:rsidRDefault="00AE7E07" w:rsidP="00AE7E07">
      <w:pPr>
        <w:pStyle w:val="ASDEFCONNormal"/>
        <w:sectPr w:rsidR="00AE7E07" w:rsidSect="00C63F35">
          <w:footerReference w:type="default" r:id="rId14"/>
          <w:pgSz w:w="16840" w:h="11907" w:orient="landscape" w:code="9"/>
          <w:pgMar w:top="1418" w:right="1304" w:bottom="1418" w:left="907" w:header="567" w:footer="283" w:gutter="0"/>
          <w:paperSrc w:first="257" w:other="257"/>
          <w:pgNumType w:start="1"/>
          <w:cols w:space="720"/>
          <w:docGrid w:linePitch="272"/>
        </w:sectPr>
      </w:pPr>
    </w:p>
    <w:tbl>
      <w:tblPr>
        <w:tblW w:w="5000" w:type="pct"/>
        <w:tblLayout w:type="fixed"/>
        <w:tblLook w:val="00A0" w:firstRow="1" w:lastRow="0" w:firstColumn="1" w:lastColumn="0" w:noHBand="0" w:noVBand="0"/>
      </w:tblPr>
      <w:tblGrid>
        <w:gridCol w:w="1373"/>
        <w:gridCol w:w="1269"/>
        <w:gridCol w:w="1936"/>
        <w:gridCol w:w="2348"/>
        <w:gridCol w:w="2114"/>
        <w:gridCol w:w="2395"/>
        <w:gridCol w:w="3184"/>
      </w:tblGrid>
      <w:tr w:rsidR="00CE3611" w14:paraId="2777B526" w14:textId="77777777" w:rsidTr="002E67DA">
        <w:trPr>
          <w:trHeight w:val="895"/>
        </w:trPr>
        <w:tc>
          <w:tcPr>
            <w:tcW w:w="470" w:type="pct"/>
            <w:tcBorders>
              <w:top w:val="single" w:sz="4" w:space="0" w:color="auto"/>
              <w:left w:val="single" w:sz="4" w:space="0" w:color="auto"/>
              <w:bottom w:val="single" w:sz="4" w:space="0" w:color="auto"/>
              <w:right w:val="single" w:sz="6" w:space="0" w:color="auto"/>
            </w:tcBorders>
            <w:shd w:val="clear" w:color="auto" w:fill="BFBFBF" w:themeFill="background1" w:themeFillShade="BF"/>
          </w:tcPr>
          <w:p w14:paraId="469F19F7" w14:textId="77777777" w:rsidR="00AE7E07" w:rsidRPr="002E67DA" w:rsidRDefault="00AE7E07" w:rsidP="002E67DA">
            <w:pPr>
              <w:pStyle w:val="Table10ptHeading-ASDEFCON"/>
              <w:rPr>
                <w:rFonts w:eastAsia="Calibri"/>
              </w:rPr>
            </w:pPr>
            <w:r w:rsidRPr="002E67DA">
              <w:t>Unique Line Item Description</w:t>
            </w:r>
          </w:p>
        </w:tc>
        <w:tc>
          <w:tcPr>
            <w:tcW w:w="434"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60B3EC20" w14:textId="77777777" w:rsidR="00AE7E07" w:rsidRPr="002E67DA" w:rsidRDefault="00AE7E07" w:rsidP="002E67DA">
            <w:pPr>
              <w:pStyle w:val="Table10ptHeading-ASDEFCON"/>
              <w:rPr>
                <w:rFonts w:eastAsia="Calibri"/>
              </w:rPr>
            </w:pPr>
            <w:r w:rsidRPr="002E67DA">
              <w:t>Item Reference with TDL</w:t>
            </w:r>
          </w:p>
        </w:tc>
        <w:tc>
          <w:tcPr>
            <w:tcW w:w="662"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717667D5" w14:textId="77777777" w:rsidR="00AE7E07" w:rsidRPr="002E67DA" w:rsidRDefault="00AE7E07" w:rsidP="002E67DA">
            <w:pPr>
              <w:pStyle w:val="Table10ptHeading-ASDEFCON"/>
              <w:rPr>
                <w:rFonts w:eastAsia="Calibri"/>
              </w:rPr>
            </w:pPr>
            <w:r w:rsidRPr="002E67DA">
              <w:t>Equipment/</w:t>
            </w:r>
            <w:r w:rsidRPr="002E67DA">
              <w:br/>
              <w:t>System/</w:t>
            </w:r>
            <w:r w:rsidRPr="002E67DA">
              <w:br/>
              <w:t>Subsystem/ Component/CI Name</w:t>
            </w:r>
          </w:p>
        </w:tc>
        <w:tc>
          <w:tcPr>
            <w:tcW w:w="803"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667A38E8" w14:textId="77777777" w:rsidR="00AE7E07" w:rsidRPr="002E67DA" w:rsidRDefault="00AE7E07" w:rsidP="002E67DA">
            <w:pPr>
              <w:pStyle w:val="Table10ptHeading-ASDEFCON"/>
              <w:rPr>
                <w:rFonts w:eastAsia="Calibri"/>
              </w:rPr>
            </w:pPr>
            <w:r w:rsidRPr="002E67DA">
              <w:t>Description of TD or Software</w:t>
            </w:r>
          </w:p>
        </w:tc>
        <w:tc>
          <w:tcPr>
            <w:tcW w:w="723"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79E61716" w14:textId="77777777" w:rsidR="00AE7E07" w:rsidRPr="002E67DA" w:rsidRDefault="00AE7E07" w:rsidP="002E67DA">
            <w:pPr>
              <w:pStyle w:val="Table10ptHeading-ASDEFCON"/>
              <w:rPr>
                <w:rFonts w:eastAsia="Calibri"/>
              </w:rPr>
            </w:pPr>
            <w:r w:rsidRPr="002E67DA">
              <w:t>Name of Assignee</w:t>
            </w:r>
          </w:p>
        </w:tc>
        <w:tc>
          <w:tcPr>
            <w:tcW w:w="819"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0B109C09" w14:textId="77777777" w:rsidR="00AE7E07" w:rsidRPr="002E67DA" w:rsidRDefault="00AE7E07" w:rsidP="002E67DA">
            <w:pPr>
              <w:pStyle w:val="Table10ptHeading-ASDEFCON"/>
              <w:rPr>
                <w:rFonts w:eastAsia="Calibri"/>
              </w:rPr>
            </w:pPr>
            <w:r w:rsidRPr="002E67DA">
              <w:t>Restrictions on non-Commonwealth owned IP</w:t>
            </w:r>
          </w:p>
          <w:p w14:paraId="173EAE42" w14:textId="77777777" w:rsidR="00AE7E07" w:rsidRPr="002E67DA" w:rsidRDefault="00AE7E07" w:rsidP="002E67DA">
            <w:pPr>
              <w:pStyle w:val="Table10ptHeading-ASDEFCON"/>
              <w:rPr>
                <w:rFonts w:eastAsia="Calibri"/>
              </w:rPr>
            </w:pPr>
            <w:r w:rsidRPr="002E67DA">
              <w:t>(refer Unique Line Item Description from Annex B if required)</w:t>
            </w:r>
          </w:p>
        </w:tc>
        <w:tc>
          <w:tcPr>
            <w:tcW w:w="1089" w:type="pct"/>
            <w:tcBorders>
              <w:top w:val="single" w:sz="4" w:space="0" w:color="auto"/>
              <w:left w:val="single" w:sz="6" w:space="0" w:color="auto"/>
              <w:bottom w:val="single" w:sz="4" w:space="0" w:color="auto"/>
              <w:right w:val="single" w:sz="4" w:space="0" w:color="auto"/>
            </w:tcBorders>
            <w:shd w:val="clear" w:color="auto" w:fill="BFBFBF" w:themeFill="background1" w:themeFillShade="BF"/>
          </w:tcPr>
          <w:p w14:paraId="5AAFDB2A" w14:textId="77777777" w:rsidR="00AE7E07" w:rsidRPr="002E67DA" w:rsidRDefault="00AE7E07" w:rsidP="002E67DA">
            <w:pPr>
              <w:pStyle w:val="Table10ptHeading-ASDEFCON"/>
              <w:rPr>
                <w:rFonts w:eastAsia="Calibri"/>
              </w:rPr>
            </w:pPr>
            <w:r w:rsidRPr="002E67DA">
              <w:t>Restrictions on licences granted by the Commonwealth under clause 5.5.2 of the COC</w:t>
            </w:r>
          </w:p>
        </w:tc>
      </w:tr>
      <w:tr w:rsidR="00CE3611" w14:paraId="3C5A0185" w14:textId="77777777" w:rsidTr="002E67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0" w:type="pct"/>
            <w:tcBorders>
              <w:top w:val="single" w:sz="4" w:space="0" w:color="auto"/>
            </w:tcBorders>
            <w:shd w:val="clear" w:color="auto" w:fill="D9D9D9"/>
          </w:tcPr>
          <w:p w14:paraId="366D32F2" w14:textId="77777777" w:rsidR="00AE7E07" w:rsidRDefault="00AE7E07" w:rsidP="002E67DA">
            <w:pPr>
              <w:pStyle w:val="Table10ptHeading-ASDEFCON"/>
            </w:pPr>
            <w:r>
              <w:t>(a)</w:t>
            </w:r>
          </w:p>
        </w:tc>
        <w:tc>
          <w:tcPr>
            <w:tcW w:w="434" w:type="pct"/>
            <w:tcBorders>
              <w:top w:val="single" w:sz="4" w:space="0" w:color="auto"/>
            </w:tcBorders>
            <w:shd w:val="clear" w:color="auto" w:fill="D9D9D9"/>
          </w:tcPr>
          <w:p w14:paraId="164833FA" w14:textId="77777777" w:rsidR="00AE7E07" w:rsidRDefault="00AE7E07" w:rsidP="002E67DA">
            <w:pPr>
              <w:pStyle w:val="Table10ptHeading-ASDEFCON"/>
            </w:pPr>
            <w:r>
              <w:t>(b)</w:t>
            </w:r>
          </w:p>
        </w:tc>
        <w:tc>
          <w:tcPr>
            <w:tcW w:w="662" w:type="pct"/>
            <w:tcBorders>
              <w:top w:val="single" w:sz="4" w:space="0" w:color="auto"/>
            </w:tcBorders>
            <w:shd w:val="clear" w:color="auto" w:fill="D9D9D9"/>
          </w:tcPr>
          <w:p w14:paraId="6AFEAAED" w14:textId="77777777" w:rsidR="00AE7E07" w:rsidRDefault="00AE7E07" w:rsidP="002E67DA">
            <w:pPr>
              <w:pStyle w:val="Table10ptHeading-ASDEFCON"/>
            </w:pPr>
            <w:r>
              <w:t>(c)</w:t>
            </w:r>
          </w:p>
        </w:tc>
        <w:tc>
          <w:tcPr>
            <w:tcW w:w="803" w:type="pct"/>
            <w:tcBorders>
              <w:top w:val="single" w:sz="4" w:space="0" w:color="auto"/>
            </w:tcBorders>
            <w:shd w:val="clear" w:color="auto" w:fill="D9D9D9"/>
          </w:tcPr>
          <w:p w14:paraId="46F02D46" w14:textId="77777777" w:rsidR="00AE7E07" w:rsidRDefault="00AE7E07" w:rsidP="002E67DA">
            <w:pPr>
              <w:pStyle w:val="Table10ptHeading-ASDEFCON"/>
            </w:pPr>
            <w:r>
              <w:t>(d)</w:t>
            </w:r>
          </w:p>
        </w:tc>
        <w:tc>
          <w:tcPr>
            <w:tcW w:w="723" w:type="pct"/>
            <w:tcBorders>
              <w:top w:val="single" w:sz="4" w:space="0" w:color="auto"/>
            </w:tcBorders>
            <w:shd w:val="clear" w:color="auto" w:fill="D9D9D9"/>
          </w:tcPr>
          <w:p w14:paraId="0705B4EB" w14:textId="77777777" w:rsidR="00AE7E07" w:rsidRDefault="00AE7E07" w:rsidP="002E67DA">
            <w:pPr>
              <w:pStyle w:val="Table10ptHeading-ASDEFCON"/>
            </w:pPr>
            <w:r>
              <w:t>(e)</w:t>
            </w:r>
          </w:p>
        </w:tc>
        <w:tc>
          <w:tcPr>
            <w:tcW w:w="819" w:type="pct"/>
            <w:tcBorders>
              <w:top w:val="single" w:sz="4" w:space="0" w:color="auto"/>
            </w:tcBorders>
            <w:shd w:val="clear" w:color="auto" w:fill="D9D9D9"/>
          </w:tcPr>
          <w:p w14:paraId="00FA50B9" w14:textId="77777777" w:rsidR="00AE7E07" w:rsidRDefault="00AE7E07" w:rsidP="002E67DA">
            <w:pPr>
              <w:pStyle w:val="Table10ptHeading-ASDEFCON"/>
            </w:pPr>
            <w:r>
              <w:t>(f)</w:t>
            </w:r>
          </w:p>
        </w:tc>
        <w:tc>
          <w:tcPr>
            <w:tcW w:w="1089" w:type="pct"/>
            <w:tcBorders>
              <w:top w:val="single" w:sz="4" w:space="0" w:color="auto"/>
            </w:tcBorders>
            <w:shd w:val="clear" w:color="auto" w:fill="D9D9D9"/>
          </w:tcPr>
          <w:p w14:paraId="1DF78946" w14:textId="77777777" w:rsidR="00AE7E07" w:rsidRDefault="00AE7E07" w:rsidP="002E67DA">
            <w:pPr>
              <w:pStyle w:val="Table10ptHeading-ASDEFCON"/>
            </w:pPr>
            <w:r>
              <w:t>(g)</w:t>
            </w:r>
          </w:p>
        </w:tc>
      </w:tr>
      <w:tr w:rsidR="00AE7E07" w14:paraId="1450E811" w14:textId="77777777" w:rsidTr="002E67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0" w:type="pct"/>
          </w:tcPr>
          <w:p w14:paraId="63F92E68" w14:textId="6924F84D" w:rsidR="00AE7E07" w:rsidRPr="002E67DA" w:rsidRDefault="002E67DA" w:rsidP="002E67DA">
            <w:pPr>
              <w:pStyle w:val="Table10ptText-ASDEFCON"/>
              <w:rPr>
                <w:i/>
              </w:rPr>
            </w:pPr>
            <w:r>
              <w:rPr>
                <w:i/>
              </w:rPr>
              <w:t>Example:</w:t>
            </w:r>
            <w:r>
              <w:rPr>
                <w:i/>
              </w:rPr>
              <w:br/>
            </w:r>
            <w:r w:rsidR="00AE7E07" w:rsidRPr="002E67DA">
              <w:rPr>
                <w:i/>
              </w:rPr>
              <w:t>G-D-1</w:t>
            </w:r>
          </w:p>
        </w:tc>
        <w:tc>
          <w:tcPr>
            <w:tcW w:w="434" w:type="pct"/>
          </w:tcPr>
          <w:p w14:paraId="69764144" w14:textId="77777777" w:rsidR="00AE7E07" w:rsidRPr="002E67DA" w:rsidRDefault="00AE7E07" w:rsidP="002E67DA">
            <w:pPr>
              <w:pStyle w:val="Table10ptText-ASDEFCON"/>
              <w:rPr>
                <w:i/>
              </w:rPr>
            </w:pPr>
            <w:r w:rsidRPr="002E67DA">
              <w:rPr>
                <w:i/>
              </w:rPr>
              <w:t>ABC #1299</w:t>
            </w:r>
          </w:p>
        </w:tc>
        <w:tc>
          <w:tcPr>
            <w:tcW w:w="662" w:type="pct"/>
          </w:tcPr>
          <w:p w14:paraId="78B2C6B6" w14:textId="77777777" w:rsidR="00AE7E07" w:rsidRPr="002E67DA" w:rsidRDefault="00AE7E07" w:rsidP="002E67DA">
            <w:pPr>
              <w:pStyle w:val="Table10ptText-ASDEFCON"/>
              <w:rPr>
                <w:i/>
              </w:rPr>
            </w:pPr>
            <w:r w:rsidRPr="002E67DA">
              <w:rPr>
                <w:i/>
              </w:rPr>
              <w:t>Flight System</w:t>
            </w:r>
          </w:p>
        </w:tc>
        <w:tc>
          <w:tcPr>
            <w:tcW w:w="803" w:type="pct"/>
          </w:tcPr>
          <w:p w14:paraId="7D7E1B5D" w14:textId="77777777" w:rsidR="00AE7E07" w:rsidRPr="002E67DA" w:rsidRDefault="00AE7E07" w:rsidP="002E67DA">
            <w:pPr>
              <w:pStyle w:val="Table10ptText-ASDEFCON"/>
              <w:rPr>
                <w:i/>
              </w:rPr>
            </w:pPr>
            <w:r w:rsidRPr="002E67DA">
              <w:rPr>
                <w:i/>
              </w:rPr>
              <w:t>Wing refuelling station design</w:t>
            </w:r>
          </w:p>
        </w:tc>
        <w:tc>
          <w:tcPr>
            <w:tcW w:w="723" w:type="pct"/>
          </w:tcPr>
          <w:p w14:paraId="69ECCAAD" w14:textId="77777777" w:rsidR="00AE7E07" w:rsidRPr="002E67DA" w:rsidRDefault="00AE7E07" w:rsidP="002E67DA">
            <w:pPr>
              <w:pStyle w:val="Table10ptText-ASDEFCON"/>
              <w:rPr>
                <w:i/>
              </w:rPr>
            </w:pPr>
            <w:r w:rsidRPr="002E67DA">
              <w:rPr>
                <w:i/>
              </w:rPr>
              <w:t>Commonwealth</w:t>
            </w:r>
          </w:p>
        </w:tc>
        <w:tc>
          <w:tcPr>
            <w:tcW w:w="819" w:type="pct"/>
          </w:tcPr>
          <w:p w14:paraId="3C282D7C" w14:textId="77777777" w:rsidR="00AE7E07" w:rsidRPr="002E67DA" w:rsidRDefault="00AE7E07" w:rsidP="002E67DA">
            <w:pPr>
              <w:pStyle w:val="Table10ptText-ASDEFCON"/>
              <w:rPr>
                <w:i/>
              </w:rPr>
            </w:pPr>
            <w:r w:rsidRPr="002E67DA">
              <w:rPr>
                <w:i/>
              </w:rPr>
              <w:t xml:space="preserve">Contractor owns IP in Wing refuelling clasp included in design. </w:t>
            </w:r>
          </w:p>
        </w:tc>
        <w:tc>
          <w:tcPr>
            <w:tcW w:w="1089" w:type="pct"/>
          </w:tcPr>
          <w:p w14:paraId="6C65B155" w14:textId="77777777" w:rsidR="00AE7E07" w:rsidRPr="002E67DA" w:rsidRDefault="00AE7E07" w:rsidP="002E67DA">
            <w:pPr>
              <w:pStyle w:val="Table10ptText-ASDEFCON"/>
              <w:rPr>
                <w:i/>
              </w:rPr>
            </w:pPr>
            <w:r w:rsidRPr="002E67DA">
              <w:rPr>
                <w:i/>
              </w:rPr>
              <w:t>The Contractor may use solely for the purpose of maintaining the Aircraft and must not sublicense any of the IP in the Technical Data.</w:t>
            </w:r>
          </w:p>
        </w:tc>
      </w:tr>
      <w:tr w:rsidR="00AE7E07" w14:paraId="420E2E4C" w14:textId="77777777" w:rsidTr="002E67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70" w:type="pct"/>
          </w:tcPr>
          <w:p w14:paraId="7EE39416" w14:textId="3AECBD2A" w:rsidR="00AE7E07" w:rsidRPr="002E67DA" w:rsidRDefault="002E67DA" w:rsidP="002E67DA">
            <w:pPr>
              <w:pStyle w:val="Table10ptText-ASDEFCON"/>
              <w:rPr>
                <w:i/>
              </w:rPr>
            </w:pPr>
            <w:r>
              <w:rPr>
                <w:i/>
              </w:rPr>
              <w:t>Example:</w:t>
            </w:r>
            <w:r>
              <w:rPr>
                <w:i/>
              </w:rPr>
              <w:br/>
            </w:r>
            <w:r w:rsidR="00AE7E07" w:rsidRPr="002E67DA">
              <w:rPr>
                <w:i/>
              </w:rPr>
              <w:t>G-D-2</w:t>
            </w:r>
          </w:p>
        </w:tc>
        <w:tc>
          <w:tcPr>
            <w:tcW w:w="434" w:type="pct"/>
          </w:tcPr>
          <w:p w14:paraId="7BB50DDE" w14:textId="77777777" w:rsidR="00AE7E07" w:rsidRPr="002E67DA" w:rsidRDefault="00AE7E07" w:rsidP="002E67DA">
            <w:pPr>
              <w:pStyle w:val="Table10ptText-ASDEFCON"/>
              <w:rPr>
                <w:i/>
              </w:rPr>
            </w:pPr>
            <w:r w:rsidRPr="002E67DA">
              <w:rPr>
                <w:i/>
              </w:rPr>
              <w:t>ABC #1976</w:t>
            </w:r>
          </w:p>
        </w:tc>
        <w:tc>
          <w:tcPr>
            <w:tcW w:w="662" w:type="pct"/>
          </w:tcPr>
          <w:p w14:paraId="6BE203D8" w14:textId="77777777" w:rsidR="00AE7E07" w:rsidRPr="002E67DA" w:rsidRDefault="00AE7E07" w:rsidP="002E67DA">
            <w:pPr>
              <w:pStyle w:val="Table10ptText-ASDEFCON"/>
              <w:rPr>
                <w:i/>
              </w:rPr>
            </w:pPr>
            <w:r w:rsidRPr="002E67DA">
              <w:rPr>
                <w:i/>
              </w:rPr>
              <w:t>Radar System</w:t>
            </w:r>
          </w:p>
        </w:tc>
        <w:tc>
          <w:tcPr>
            <w:tcW w:w="803" w:type="pct"/>
          </w:tcPr>
          <w:p w14:paraId="58BA5B98" w14:textId="77777777" w:rsidR="00AE7E07" w:rsidRPr="002E67DA" w:rsidRDefault="00AE7E07" w:rsidP="002E67DA">
            <w:pPr>
              <w:pStyle w:val="Table10ptText-ASDEFCON"/>
              <w:rPr>
                <w:i/>
              </w:rPr>
            </w:pPr>
            <w:r w:rsidRPr="002E67DA">
              <w:rPr>
                <w:i/>
              </w:rPr>
              <w:t>XYZ software configuration manual.</w:t>
            </w:r>
          </w:p>
        </w:tc>
        <w:tc>
          <w:tcPr>
            <w:tcW w:w="723" w:type="pct"/>
          </w:tcPr>
          <w:p w14:paraId="0058C63E" w14:textId="77777777" w:rsidR="00AE7E07" w:rsidRPr="002E67DA" w:rsidRDefault="00AE7E07" w:rsidP="002E67DA">
            <w:pPr>
              <w:pStyle w:val="Table10ptText-ASDEFCON"/>
              <w:rPr>
                <w:i/>
              </w:rPr>
            </w:pPr>
            <w:r w:rsidRPr="002E67DA">
              <w:rPr>
                <w:i/>
              </w:rPr>
              <w:t>Commonwealth</w:t>
            </w:r>
          </w:p>
        </w:tc>
        <w:tc>
          <w:tcPr>
            <w:tcW w:w="819" w:type="pct"/>
          </w:tcPr>
          <w:p w14:paraId="68B9DAD7" w14:textId="77777777" w:rsidR="00AE7E07" w:rsidRPr="002E67DA" w:rsidRDefault="00AE7E07" w:rsidP="002E67DA">
            <w:pPr>
              <w:pStyle w:val="Table10ptText-ASDEFCON"/>
              <w:rPr>
                <w:i/>
              </w:rPr>
            </w:pPr>
            <w:r w:rsidRPr="002E67DA">
              <w:rPr>
                <w:i/>
              </w:rPr>
              <w:t xml:space="preserve">Nil </w:t>
            </w:r>
          </w:p>
        </w:tc>
        <w:tc>
          <w:tcPr>
            <w:tcW w:w="1089" w:type="pct"/>
          </w:tcPr>
          <w:p w14:paraId="3D0D4B4A" w14:textId="77777777" w:rsidR="00AE7E07" w:rsidRPr="002E67DA" w:rsidRDefault="00AE7E07" w:rsidP="002E67DA">
            <w:pPr>
              <w:pStyle w:val="Table10ptText-ASDEFCON"/>
              <w:rPr>
                <w:i/>
              </w:rPr>
            </w:pPr>
            <w:r w:rsidRPr="002E67DA">
              <w:rPr>
                <w:i/>
              </w:rPr>
              <w:t>The Contractor may use solely for the purpose of installation of updates to the XYZ subsystem and must not sublicense any of the IP in the manual.</w:t>
            </w:r>
          </w:p>
        </w:tc>
      </w:tr>
      <w:tr w:rsidR="00AE7E07" w14:paraId="0EF01B61" w14:textId="77777777" w:rsidTr="002E67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0" w:type="pct"/>
          </w:tcPr>
          <w:p w14:paraId="35130056" w14:textId="762885B5" w:rsidR="00AE7E07" w:rsidRPr="002E67DA" w:rsidRDefault="002E67DA" w:rsidP="002E67DA">
            <w:pPr>
              <w:pStyle w:val="Table10ptText-ASDEFCON"/>
              <w:rPr>
                <w:i/>
              </w:rPr>
            </w:pPr>
            <w:r>
              <w:rPr>
                <w:i/>
              </w:rPr>
              <w:t>Example:</w:t>
            </w:r>
            <w:r>
              <w:rPr>
                <w:i/>
              </w:rPr>
              <w:br/>
            </w:r>
            <w:r w:rsidR="00AE7E07" w:rsidRPr="002E67DA">
              <w:rPr>
                <w:i/>
              </w:rPr>
              <w:t>G-D-3</w:t>
            </w:r>
          </w:p>
        </w:tc>
        <w:tc>
          <w:tcPr>
            <w:tcW w:w="434" w:type="pct"/>
          </w:tcPr>
          <w:p w14:paraId="3500BE35" w14:textId="77777777" w:rsidR="00AE7E07" w:rsidRPr="002E67DA" w:rsidRDefault="00AE7E07" w:rsidP="002E67DA">
            <w:pPr>
              <w:pStyle w:val="Table10ptText-ASDEFCON"/>
              <w:rPr>
                <w:i/>
              </w:rPr>
            </w:pPr>
            <w:r w:rsidRPr="002E67DA">
              <w:rPr>
                <w:i/>
              </w:rPr>
              <w:t>ABC #1982</w:t>
            </w:r>
          </w:p>
        </w:tc>
        <w:tc>
          <w:tcPr>
            <w:tcW w:w="662" w:type="pct"/>
          </w:tcPr>
          <w:p w14:paraId="788DBE5C" w14:textId="77777777" w:rsidR="00AE7E07" w:rsidRPr="002E67DA" w:rsidRDefault="00AE7E07" w:rsidP="002E67DA">
            <w:pPr>
              <w:pStyle w:val="Table10ptText-ASDEFCON"/>
              <w:rPr>
                <w:i/>
              </w:rPr>
            </w:pPr>
            <w:r w:rsidRPr="002E67DA">
              <w:rPr>
                <w:i/>
              </w:rPr>
              <w:t>Combat Management System</w:t>
            </w:r>
          </w:p>
        </w:tc>
        <w:tc>
          <w:tcPr>
            <w:tcW w:w="803" w:type="pct"/>
          </w:tcPr>
          <w:p w14:paraId="70CCB7B8" w14:textId="77777777" w:rsidR="00AE7E07" w:rsidRPr="002E67DA" w:rsidRDefault="00AE7E07" w:rsidP="002E67DA">
            <w:pPr>
              <w:pStyle w:val="Table10ptText-ASDEFCON"/>
              <w:rPr>
                <w:i/>
              </w:rPr>
            </w:pPr>
            <w:r w:rsidRPr="002E67DA">
              <w:rPr>
                <w:i/>
              </w:rPr>
              <w:t>Operation and maintenance manuals for XYZ combat management system.</w:t>
            </w:r>
          </w:p>
        </w:tc>
        <w:tc>
          <w:tcPr>
            <w:tcW w:w="723" w:type="pct"/>
          </w:tcPr>
          <w:p w14:paraId="78B1080C" w14:textId="77777777" w:rsidR="00AE7E07" w:rsidRPr="002E67DA" w:rsidRDefault="00AE7E07" w:rsidP="002E67DA">
            <w:pPr>
              <w:pStyle w:val="Table10ptText-ASDEFCON"/>
              <w:rPr>
                <w:i/>
              </w:rPr>
            </w:pPr>
            <w:r w:rsidRPr="002E67DA">
              <w:rPr>
                <w:i/>
              </w:rPr>
              <w:t>ABC Pty Ltd (via the Commonwealth).</w:t>
            </w:r>
          </w:p>
        </w:tc>
        <w:tc>
          <w:tcPr>
            <w:tcW w:w="819" w:type="pct"/>
          </w:tcPr>
          <w:p w14:paraId="3A8EBE74" w14:textId="77777777" w:rsidR="00AE7E07" w:rsidRPr="002E67DA" w:rsidRDefault="00AE7E07" w:rsidP="002E67DA">
            <w:pPr>
              <w:pStyle w:val="Table10ptText-ASDEFCON"/>
              <w:rPr>
                <w:i/>
              </w:rPr>
            </w:pPr>
            <w:r w:rsidRPr="002E67DA">
              <w:rPr>
                <w:i/>
              </w:rPr>
              <w:t>Nil</w:t>
            </w:r>
          </w:p>
        </w:tc>
        <w:tc>
          <w:tcPr>
            <w:tcW w:w="1089" w:type="pct"/>
          </w:tcPr>
          <w:p w14:paraId="112D38FE" w14:textId="77777777" w:rsidR="00AE7E07" w:rsidRPr="002E67DA" w:rsidRDefault="00AE7E07" w:rsidP="002E67DA">
            <w:pPr>
              <w:pStyle w:val="Table10ptText-ASDEFCON"/>
              <w:rPr>
                <w:i/>
              </w:rPr>
            </w:pPr>
            <w:r w:rsidRPr="002E67DA">
              <w:rPr>
                <w:i/>
              </w:rPr>
              <w:t>The Contractor may use solely for the purpose of undertaking repairs and updates on XYZ subsystem and must not sublicense any of the IP in the Technical Data.</w:t>
            </w:r>
          </w:p>
        </w:tc>
      </w:tr>
    </w:tbl>
    <w:p w14:paraId="3BF44D58" w14:textId="77777777" w:rsidR="000B636C" w:rsidRDefault="000B636C" w:rsidP="00AE7E07">
      <w:pPr>
        <w:pStyle w:val="ASDEFCONNormal"/>
        <w:sectPr w:rsidR="000B636C" w:rsidSect="00C63F35">
          <w:pgSz w:w="16840" w:h="11907" w:orient="landscape" w:code="9"/>
          <w:pgMar w:top="1418" w:right="1304" w:bottom="1418" w:left="907" w:header="567" w:footer="283" w:gutter="0"/>
          <w:paperSrc w:first="257" w:other="257"/>
          <w:cols w:space="720"/>
          <w:docGrid w:linePitch="272"/>
        </w:sectPr>
      </w:pPr>
    </w:p>
    <w:p w14:paraId="3B52BC15" w14:textId="1A091044" w:rsidR="000B636C" w:rsidRDefault="000B636C" w:rsidP="002E67DA">
      <w:pPr>
        <w:pStyle w:val="ASDEFCONTitle"/>
      </w:pPr>
      <w:r w:rsidRPr="000B636C">
        <w:t>ANNEX E – EXCLUDED PARTIES</w:t>
      </w:r>
      <w:r w:rsidR="00F90F8D">
        <w:t xml:space="preserve"> (CORE)</w:t>
      </w:r>
    </w:p>
    <w:p w14:paraId="5670454B" w14:textId="37972C21" w:rsidR="00FB21B3" w:rsidRDefault="00FB21B3" w:rsidP="00F2373F">
      <w:pPr>
        <w:pStyle w:val="NoteToDrafters-ASDEFCON"/>
      </w:pPr>
      <w:r>
        <w:t xml:space="preserve">Note to drafters: </w:t>
      </w:r>
      <w:r w:rsidR="00F203AA">
        <w:t xml:space="preserve">Listing parties as Excluded Parties means they cannot be engaged </w:t>
      </w:r>
      <w:r w:rsidR="0050661A">
        <w:t xml:space="preserve">by the Commonwealth </w:t>
      </w:r>
      <w:r w:rsidR="00F203AA">
        <w:t>as Commonwealth Service Providers</w:t>
      </w:r>
      <w:r w:rsidR="0050661A">
        <w:t xml:space="preserve"> for the purposes of the Contract.  </w:t>
      </w:r>
      <w:r w:rsidR="005853A2">
        <w:t xml:space="preserve"> </w:t>
      </w:r>
      <w:r w:rsidR="0050661A">
        <w:t xml:space="preserve">The effect of this is that the </w:t>
      </w:r>
      <w:r w:rsidR="005853A2">
        <w:t>Commonwealth is</w:t>
      </w:r>
      <w:r w:rsidR="00CB28E0">
        <w:t xml:space="preserve"> not entitled to </w:t>
      </w:r>
      <w:r w:rsidR="005853A2">
        <w:t>grant</w:t>
      </w:r>
      <w:r w:rsidR="0050661A">
        <w:t xml:space="preserve"> these parties</w:t>
      </w:r>
      <w:r w:rsidR="005853A2">
        <w:t xml:space="preserve"> </w:t>
      </w:r>
      <w:r w:rsidR="00CB28E0">
        <w:t xml:space="preserve">the broad </w:t>
      </w:r>
      <w:proofErr w:type="spellStart"/>
      <w:r w:rsidR="005853A2">
        <w:t>Sublicences</w:t>
      </w:r>
      <w:proofErr w:type="spellEnd"/>
      <w:r w:rsidR="00CB28E0">
        <w:t xml:space="preserve"> </w:t>
      </w:r>
      <w:r w:rsidR="00CB28E0" w:rsidRPr="000B636C">
        <w:t xml:space="preserve">at clauses 5.3.3a and </w:t>
      </w:r>
      <w:proofErr w:type="gramStart"/>
      <w:r w:rsidR="00CB28E0" w:rsidRPr="000B636C">
        <w:t>5.7.1b(</w:t>
      </w:r>
      <w:proofErr w:type="spellStart"/>
      <w:proofErr w:type="gramEnd"/>
      <w:r w:rsidR="00CB28E0" w:rsidRPr="000B636C">
        <w:t>i</w:t>
      </w:r>
      <w:proofErr w:type="spellEnd"/>
      <w:r w:rsidR="00CB28E0" w:rsidRPr="000B636C">
        <w:t>) of the draft COC</w:t>
      </w:r>
      <w:r w:rsidR="00F873E4">
        <w:t xml:space="preserve">.  </w:t>
      </w:r>
      <w:r w:rsidR="00CB28E0">
        <w:t>However, Exclu</w:t>
      </w:r>
      <w:r w:rsidR="0016657A">
        <w:t>d</w:t>
      </w:r>
      <w:r w:rsidR="00CB28E0">
        <w:t xml:space="preserve">ed Parties may </w:t>
      </w:r>
      <w:r w:rsidR="005853A2">
        <w:t xml:space="preserve">still </w:t>
      </w:r>
      <w:r w:rsidR="00CB28E0">
        <w:t xml:space="preserve">be granted </w:t>
      </w:r>
      <w:proofErr w:type="spellStart"/>
      <w:r w:rsidR="00602665">
        <w:t>Sublicences</w:t>
      </w:r>
      <w:proofErr w:type="spellEnd"/>
      <w:r w:rsidR="00CB28E0">
        <w:t xml:space="preserve"> under </w:t>
      </w:r>
      <w:r w:rsidR="00F203AA">
        <w:t>clause</w:t>
      </w:r>
      <w:r w:rsidR="0050661A">
        <w:t>s</w:t>
      </w:r>
      <w:r w:rsidR="00F203AA">
        <w:t xml:space="preserve"> 5.3.3b</w:t>
      </w:r>
      <w:r w:rsidR="005853A2">
        <w:t>, 5.3.3c,</w:t>
      </w:r>
      <w:r w:rsidR="00F90F8D">
        <w:t xml:space="preserve"> </w:t>
      </w:r>
      <w:proofErr w:type="gramStart"/>
      <w:r w:rsidR="00F90F8D">
        <w:t>5.7.1b(</w:t>
      </w:r>
      <w:proofErr w:type="gramEnd"/>
      <w:r w:rsidR="00F90F8D">
        <w:t>ii)</w:t>
      </w:r>
      <w:r w:rsidR="005853A2">
        <w:t xml:space="preserve"> or 5.7.1b(iii)</w:t>
      </w:r>
      <w:r w:rsidR="00F90F8D">
        <w:t xml:space="preserve">. </w:t>
      </w:r>
      <w:r>
        <w:t xml:space="preserve"> </w:t>
      </w:r>
      <w:r w:rsidR="005853A2">
        <w:t xml:space="preserve">The Commonwealth’s preference is that there are </w:t>
      </w:r>
      <w:r w:rsidR="00F203AA">
        <w:t>no Excluded Parties</w:t>
      </w:r>
      <w:r w:rsidR="0006658E">
        <w:t xml:space="preserve">.  In most cases, there will be no need for Excluded Parties because the TDSR Schedule </w:t>
      </w:r>
      <w:r w:rsidR="0050661A">
        <w:t xml:space="preserve">enables </w:t>
      </w:r>
      <w:r w:rsidR="00F203AA">
        <w:t xml:space="preserve">the tenderer </w:t>
      </w:r>
      <w:r w:rsidR="0006658E">
        <w:t>to protect</w:t>
      </w:r>
      <w:r w:rsidR="00F203AA">
        <w:t xml:space="preserve"> specific TD or Software that it considers sensitive.  For further guidance on the impact of </w:t>
      </w:r>
      <w:r w:rsidR="00F90F8D">
        <w:t>listing parties as Excluded Parties, see</w:t>
      </w:r>
      <w:r w:rsidR="00255FEF">
        <w:t xml:space="preserve"> Chapter 5 of</w:t>
      </w:r>
      <w:r w:rsidR="00F90F8D">
        <w:t xml:space="preserve"> the </w:t>
      </w:r>
      <w:r w:rsidR="00AD1EB1" w:rsidRPr="000007BE">
        <w:t>ASDEFCON Technical Data / Intellectual Property Commercial Handbook</w:t>
      </w:r>
      <w:r w:rsidR="00AD1EB1">
        <w:t xml:space="preserve"> at:</w:t>
      </w:r>
    </w:p>
    <w:p w14:paraId="406BB6F1" w14:textId="73A36DAC" w:rsidR="00AD1EB1" w:rsidRDefault="00AD1EB1" w:rsidP="00F2373F">
      <w:pPr>
        <w:pStyle w:val="NoteToDrafters-ASDEFCON"/>
      </w:pPr>
      <w:hyperlink r:id="rId15" w:history="1">
        <w:r w:rsidRPr="00525B05">
          <w:rPr>
            <w:rStyle w:val="Hyperlink"/>
          </w:rPr>
          <w:t>http://drnet.defence.gov.au/casg/commercial/CommercialPolicyFramework/Pages/Handbooks.aspx</w:t>
        </w:r>
      </w:hyperlink>
      <w:r>
        <w:t>.</w:t>
      </w:r>
    </w:p>
    <w:p w14:paraId="1B493474" w14:textId="3D84BB04" w:rsidR="00AD1EB1" w:rsidRDefault="000B636C">
      <w:pPr>
        <w:pStyle w:val="NoteToTenderers-ASDEFCON"/>
      </w:pPr>
      <w:r w:rsidRPr="000B636C">
        <w:t xml:space="preserve">Note to tenderers:  The Commonwealth has broad rights to grant a </w:t>
      </w:r>
      <w:proofErr w:type="spellStart"/>
      <w:r w:rsidRPr="000B636C">
        <w:t>sublicence</w:t>
      </w:r>
      <w:proofErr w:type="spellEnd"/>
      <w:r w:rsidRPr="000B636C">
        <w:t xml:space="preserve"> in respect of TD, Software and Contract Material to a Commonwealth Service Provider at clauses 5.3.3a and </w:t>
      </w:r>
      <w:proofErr w:type="gramStart"/>
      <w:r w:rsidRPr="000B636C">
        <w:t>5.7.1b(</w:t>
      </w:r>
      <w:proofErr w:type="spellStart"/>
      <w:proofErr w:type="gramEnd"/>
      <w:r w:rsidRPr="000B636C">
        <w:t>i</w:t>
      </w:r>
      <w:proofErr w:type="spellEnd"/>
      <w:r w:rsidRPr="000B636C">
        <w:t>) of the draft COC.  The listing of Excluded Parties will only be agreed to by the Commonwealth in exceptional circumstances, due to the administrative and operational constraints for the Commonwealth arising from listing a party in this annex. Specifying that a party is an Excluded Party does not mean that the Commonwealth cannot sublicense to that person if they are engaged in another capacity (for example, to provide maintenance or upgrade services to the Commonwealth) and such sublicensing is not restricted in Annex A or B.</w:t>
      </w:r>
      <w:r w:rsidR="00F90F8D">
        <w:t xml:space="preserve">  For further guidance, see </w:t>
      </w:r>
      <w:r w:rsidR="00255FEF">
        <w:t xml:space="preserve">Chapter 5 of </w:t>
      </w:r>
      <w:r w:rsidR="00F90F8D">
        <w:t xml:space="preserve">the </w:t>
      </w:r>
      <w:r w:rsidR="00AD1EB1" w:rsidRPr="000007BE">
        <w:t>ASDEFCON Technical Data / Intellectual Property Commercial Handbook</w:t>
      </w:r>
      <w:r w:rsidR="00AD1EB1">
        <w:t xml:space="preserve"> at:</w:t>
      </w:r>
    </w:p>
    <w:p w14:paraId="7D18A283" w14:textId="44B63DE3" w:rsidR="000B636C" w:rsidRDefault="00AD1EB1">
      <w:pPr>
        <w:pStyle w:val="NoteToTenderers-ASDEFCON"/>
      </w:pPr>
      <w:r w:rsidRPr="00AD1EB1">
        <w:t>https://www1.defence.gov.au/business-industry/procurement/policies-guidelines-templates/intellectual-property-framework</w:t>
      </w:r>
      <w:r w:rsidR="00F90F8D">
        <w:t>.</w:t>
      </w:r>
    </w:p>
    <w:p w14:paraId="502B7A39" w14:textId="0688450F" w:rsidR="00FF3D21" w:rsidRDefault="00FF3D21" w:rsidP="00F2373F">
      <w:pPr>
        <w:pStyle w:val="ATTANNLV2-ASDEFCON"/>
        <w:numPr>
          <w:ilvl w:val="1"/>
          <w:numId w:val="42"/>
        </w:numPr>
      </w:pPr>
      <w:r>
        <w:t>The following parties are excluded from being Commonwealth Service Providers</w:t>
      </w:r>
      <w:r w:rsidR="00764972" w:rsidRPr="00764972">
        <w:t xml:space="preserve"> </w:t>
      </w:r>
      <w:r w:rsidR="00764972">
        <w:t>for the purposes of the Contract</w:t>
      </w:r>
      <w: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06"/>
        <w:gridCol w:w="2509"/>
        <w:gridCol w:w="3190"/>
        <w:gridCol w:w="7514"/>
      </w:tblGrid>
      <w:tr w:rsidR="002E67DA" w14:paraId="0CB76DBA" w14:textId="77777777" w:rsidTr="002E67DA">
        <w:trPr>
          <w:trHeight w:val="462"/>
          <w:tblHeader/>
        </w:trPr>
        <w:tc>
          <w:tcPr>
            <w:tcW w:w="481" w:type="pct"/>
            <w:tcBorders>
              <w:top w:val="single" w:sz="4" w:space="0" w:color="auto"/>
              <w:left w:val="single" w:sz="4" w:space="0" w:color="auto"/>
              <w:bottom w:val="single" w:sz="4" w:space="0" w:color="auto"/>
              <w:right w:val="single" w:sz="6" w:space="0" w:color="auto"/>
            </w:tcBorders>
            <w:shd w:val="clear" w:color="auto" w:fill="BFBFBF" w:themeFill="background1" w:themeFillShade="BF"/>
          </w:tcPr>
          <w:p w14:paraId="4E65423E" w14:textId="77777777" w:rsidR="000B636C" w:rsidRDefault="000B636C" w:rsidP="002E67DA">
            <w:pPr>
              <w:pStyle w:val="Table10ptHeading-ASDEFCON"/>
              <w:rPr>
                <w:rFonts w:eastAsia="Calibri"/>
              </w:rPr>
            </w:pPr>
            <w:r>
              <w:rPr>
                <w:rFonts w:eastAsia="Calibri"/>
              </w:rPr>
              <w:t>Unique Line Item Description</w:t>
            </w:r>
          </w:p>
        </w:tc>
        <w:tc>
          <w:tcPr>
            <w:tcW w:w="858"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1DAB35E4" w14:textId="77777777" w:rsidR="000B636C" w:rsidRDefault="000B636C" w:rsidP="002E67DA">
            <w:pPr>
              <w:pStyle w:val="Table10ptHeading-ASDEFCON"/>
              <w:rPr>
                <w:rFonts w:eastAsia="Calibri"/>
              </w:rPr>
            </w:pPr>
            <w:r>
              <w:rPr>
                <w:rFonts w:eastAsia="Calibri"/>
              </w:rPr>
              <w:t>Excluded Party</w:t>
            </w:r>
          </w:p>
          <w:p w14:paraId="4C3F3ED9" w14:textId="77777777" w:rsidR="000B636C" w:rsidRDefault="000B636C" w:rsidP="002E67DA">
            <w:pPr>
              <w:pStyle w:val="Table10ptHeading-ASDEFCON"/>
              <w:rPr>
                <w:rFonts w:eastAsia="Calibri"/>
              </w:rPr>
            </w:pPr>
            <w:r>
              <w:rPr>
                <w:rFonts w:eastAsia="Calibri"/>
              </w:rPr>
              <w:t>(a party must be capable of being clearly identified by the Commonwealth)</w:t>
            </w:r>
          </w:p>
        </w:tc>
        <w:tc>
          <w:tcPr>
            <w:tcW w:w="1091" w:type="pct"/>
            <w:tcBorders>
              <w:top w:val="single" w:sz="4" w:space="0" w:color="auto"/>
              <w:left w:val="single" w:sz="6" w:space="0" w:color="auto"/>
              <w:bottom w:val="single" w:sz="4" w:space="0" w:color="auto"/>
              <w:right w:val="single" w:sz="6" w:space="0" w:color="auto"/>
            </w:tcBorders>
            <w:shd w:val="clear" w:color="auto" w:fill="BFBFBF" w:themeFill="background1" w:themeFillShade="BF"/>
          </w:tcPr>
          <w:p w14:paraId="315AEE90" w14:textId="77777777" w:rsidR="000B636C" w:rsidRDefault="000B636C" w:rsidP="002E67DA">
            <w:pPr>
              <w:pStyle w:val="Table10ptHeading-ASDEFCON"/>
              <w:rPr>
                <w:rFonts w:eastAsia="Calibri"/>
              </w:rPr>
            </w:pPr>
            <w:r>
              <w:rPr>
                <w:rFonts w:eastAsia="Calibri"/>
              </w:rPr>
              <w:t>Period of Restriction</w:t>
            </w:r>
          </w:p>
          <w:p w14:paraId="087EDB17" w14:textId="77777777" w:rsidR="000B636C" w:rsidRDefault="000B636C" w:rsidP="002E67DA">
            <w:pPr>
              <w:pStyle w:val="Table10ptHeading-ASDEFCON"/>
              <w:rPr>
                <w:rFonts w:eastAsia="Calibri"/>
              </w:rPr>
            </w:pPr>
            <w:r>
              <w:rPr>
                <w:rFonts w:eastAsia="Calibri"/>
              </w:rPr>
              <w:t>(must not be perpetual)</w:t>
            </w:r>
          </w:p>
        </w:tc>
        <w:tc>
          <w:tcPr>
            <w:tcW w:w="2570" w:type="pct"/>
            <w:tcBorders>
              <w:top w:val="single" w:sz="4" w:space="0" w:color="auto"/>
              <w:left w:val="single" w:sz="6" w:space="0" w:color="auto"/>
              <w:bottom w:val="single" w:sz="4" w:space="0" w:color="auto"/>
              <w:right w:val="single" w:sz="4" w:space="0" w:color="auto"/>
            </w:tcBorders>
            <w:shd w:val="clear" w:color="auto" w:fill="BFBFBF" w:themeFill="background1" w:themeFillShade="BF"/>
          </w:tcPr>
          <w:p w14:paraId="05A7AD7E" w14:textId="77777777" w:rsidR="000B636C" w:rsidRDefault="000B636C" w:rsidP="002E67DA">
            <w:pPr>
              <w:pStyle w:val="Table10ptHeading-ASDEFCON"/>
              <w:rPr>
                <w:rFonts w:eastAsia="Calibri"/>
              </w:rPr>
            </w:pPr>
            <w:r>
              <w:rPr>
                <w:rFonts w:eastAsia="Calibri"/>
              </w:rPr>
              <w:t>Justification for Non-Disclosure Restriction</w:t>
            </w:r>
          </w:p>
        </w:tc>
      </w:tr>
      <w:tr w:rsidR="002E67DA" w14:paraId="696505B0" w14:textId="77777777" w:rsidTr="002E67DA">
        <w:trPr>
          <w:trHeight w:val="233"/>
        </w:trPr>
        <w:tc>
          <w:tcPr>
            <w:tcW w:w="481" w:type="pct"/>
            <w:tcBorders>
              <w:top w:val="single" w:sz="4" w:space="0" w:color="auto"/>
            </w:tcBorders>
            <w:shd w:val="clear" w:color="auto" w:fill="CCCCCC"/>
          </w:tcPr>
          <w:p w14:paraId="73F93FD3" w14:textId="77777777" w:rsidR="000B636C" w:rsidRDefault="000B636C" w:rsidP="002E67DA">
            <w:pPr>
              <w:pStyle w:val="Table10ptHeading-ASDEFCON"/>
              <w:rPr>
                <w:rFonts w:eastAsia="Calibri"/>
              </w:rPr>
            </w:pPr>
            <w:r>
              <w:rPr>
                <w:rFonts w:eastAsia="Calibri"/>
              </w:rPr>
              <w:t>(a)</w:t>
            </w:r>
          </w:p>
        </w:tc>
        <w:tc>
          <w:tcPr>
            <w:tcW w:w="858" w:type="pct"/>
            <w:tcBorders>
              <w:top w:val="single" w:sz="4" w:space="0" w:color="auto"/>
            </w:tcBorders>
            <w:shd w:val="clear" w:color="auto" w:fill="CCCCCC"/>
          </w:tcPr>
          <w:p w14:paraId="3C1277E4" w14:textId="77777777" w:rsidR="000B636C" w:rsidRDefault="000B636C" w:rsidP="002E67DA">
            <w:pPr>
              <w:pStyle w:val="Table10ptHeading-ASDEFCON"/>
              <w:rPr>
                <w:rFonts w:eastAsia="Calibri"/>
              </w:rPr>
            </w:pPr>
            <w:r>
              <w:rPr>
                <w:rFonts w:eastAsia="Calibri"/>
              </w:rPr>
              <w:t>(b)</w:t>
            </w:r>
          </w:p>
        </w:tc>
        <w:tc>
          <w:tcPr>
            <w:tcW w:w="1091" w:type="pct"/>
            <w:tcBorders>
              <w:top w:val="single" w:sz="4" w:space="0" w:color="auto"/>
            </w:tcBorders>
            <w:shd w:val="clear" w:color="auto" w:fill="CCCCCC"/>
          </w:tcPr>
          <w:p w14:paraId="2B8E3195" w14:textId="77777777" w:rsidR="000B636C" w:rsidRDefault="000B636C" w:rsidP="002E67DA">
            <w:pPr>
              <w:pStyle w:val="Table10ptHeading-ASDEFCON"/>
              <w:rPr>
                <w:rFonts w:eastAsia="Calibri"/>
              </w:rPr>
            </w:pPr>
            <w:r>
              <w:rPr>
                <w:rFonts w:eastAsia="Calibri"/>
              </w:rPr>
              <w:t>(c)</w:t>
            </w:r>
          </w:p>
        </w:tc>
        <w:tc>
          <w:tcPr>
            <w:tcW w:w="2570" w:type="pct"/>
            <w:tcBorders>
              <w:top w:val="single" w:sz="4" w:space="0" w:color="auto"/>
            </w:tcBorders>
            <w:shd w:val="clear" w:color="auto" w:fill="CCCCCC"/>
          </w:tcPr>
          <w:p w14:paraId="0910ED1C" w14:textId="77777777" w:rsidR="000B636C" w:rsidRDefault="000B636C" w:rsidP="002E67DA">
            <w:pPr>
              <w:pStyle w:val="Table10ptHeading-ASDEFCON"/>
              <w:rPr>
                <w:rFonts w:eastAsia="Calibri"/>
              </w:rPr>
            </w:pPr>
            <w:r>
              <w:rPr>
                <w:rFonts w:eastAsia="Calibri"/>
              </w:rPr>
              <w:t>(d)</w:t>
            </w:r>
          </w:p>
        </w:tc>
      </w:tr>
      <w:tr w:rsidR="002E67DA" w:rsidRPr="008E2FBF" w14:paraId="6B3E2DE3" w14:textId="77777777" w:rsidTr="002E67DA">
        <w:trPr>
          <w:trHeight w:val="590"/>
        </w:trPr>
        <w:tc>
          <w:tcPr>
            <w:tcW w:w="481" w:type="pct"/>
          </w:tcPr>
          <w:p w14:paraId="63982BD1" w14:textId="6103E7FD" w:rsidR="000B636C" w:rsidRPr="008E2FBF" w:rsidRDefault="002E67DA" w:rsidP="008E2FBF">
            <w:pPr>
              <w:pStyle w:val="ASDEFCONNormal"/>
              <w:rPr>
                <w:rFonts w:eastAsia="Calibri"/>
                <w:i/>
              </w:rPr>
            </w:pPr>
            <w:r w:rsidRPr="008E2FBF">
              <w:rPr>
                <w:rFonts w:eastAsia="Calibri" w:cs="Arial"/>
                <w:i/>
              </w:rPr>
              <w:t>Example:</w:t>
            </w:r>
            <w:r w:rsidRPr="008E2FBF">
              <w:rPr>
                <w:rFonts w:eastAsia="Calibri" w:cs="Arial"/>
                <w:i/>
              </w:rPr>
              <w:br/>
            </w:r>
            <w:r w:rsidR="000B636C" w:rsidRPr="008E2FBF">
              <w:rPr>
                <w:rFonts w:eastAsia="Calibri" w:cs="Arial"/>
                <w:i/>
              </w:rPr>
              <w:t>G-E-1</w:t>
            </w:r>
          </w:p>
        </w:tc>
        <w:tc>
          <w:tcPr>
            <w:tcW w:w="858" w:type="pct"/>
          </w:tcPr>
          <w:p w14:paraId="5FD5ECEE" w14:textId="77777777" w:rsidR="000B636C" w:rsidRPr="008E2FBF" w:rsidRDefault="000B636C" w:rsidP="008E2FBF">
            <w:pPr>
              <w:pStyle w:val="ASDEFCONNormal"/>
              <w:rPr>
                <w:rFonts w:eastAsia="Calibri"/>
                <w:b/>
                <w:i/>
                <w:caps/>
              </w:rPr>
            </w:pPr>
            <w:r w:rsidRPr="008E2FBF">
              <w:rPr>
                <w:rFonts w:eastAsia="Calibri"/>
                <w:i/>
              </w:rPr>
              <w:t xml:space="preserve">XYZ Pty Ltd </w:t>
            </w:r>
          </w:p>
        </w:tc>
        <w:tc>
          <w:tcPr>
            <w:tcW w:w="1091" w:type="pct"/>
          </w:tcPr>
          <w:p w14:paraId="2CEF57E7" w14:textId="77777777" w:rsidR="000B636C" w:rsidRPr="008E2FBF" w:rsidRDefault="000B636C" w:rsidP="008E2FBF">
            <w:pPr>
              <w:pStyle w:val="ASDEFCONNormal"/>
              <w:rPr>
                <w:rFonts w:eastAsia="Calibri"/>
                <w:i/>
              </w:rPr>
            </w:pPr>
            <w:r w:rsidRPr="008E2FBF">
              <w:rPr>
                <w:rFonts w:eastAsia="Calibri"/>
                <w:i/>
              </w:rPr>
              <w:t>5 years from Effective Date</w:t>
            </w:r>
          </w:p>
        </w:tc>
        <w:tc>
          <w:tcPr>
            <w:tcW w:w="2570" w:type="pct"/>
          </w:tcPr>
          <w:p w14:paraId="750C12E7" w14:textId="567F1CF7" w:rsidR="000B636C" w:rsidRPr="008E2FBF" w:rsidRDefault="000B636C" w:rsidP="00203E83">
            <w:pPr>
              <w:pStyle w:val="ASDEFCONNormal"/>
              <w:rPr>
                <w:rFonts w:eastAsia="Calibri"/>
                <w:i/>
              </w:rPr>
            </w:pPr>
            <w:r w:rsidRPr="008E2FBF">
              <w:rPr>
                <w:rFonts w:eastAsia="Calibri"/>
                <w:i/>
              </w:rPr>
              <w:t>XYZ Pty Ltd is a direct competitor of the Contractor in relation to the maintenance of Fuel Pumps. If XYZ Pty Ltd</w:t>
            </w:r>
            <w:r w:rsidR="00FB21B3">
              <w:rPr>
                <w:rFonts w:eastAsia="Calibri"/>
                <w:i/>
              </w:rPr>
              <w:t xml:space="preserve"> were to be engaged</w:t>
            </w:r>
            <w:r w:rsidRPr="008E2FBF">
              <w:rPr>
                <w:rFonts w:eastAsia="Calibri"/>
                <w:i/>
              </w:rPr>
              <w:t xml:space="preserve"> as a Commonwealth Service Provider, </w:t>
            </w:r>
            <w:r w:rsidR="00FB21B3">
              <w:rPr>
                <w:rFonts w:eastAsia="Calibri"/>
                <w:i/>
              </w:rPr>
              <w:t>it would be</w:t>
            </w:r>
            <w:r w:rsidRPr="008E2FBF">
              <w:rPr>
                <w:rFonts w:eastAsia="Calibri"/>
                <w:i/>
              </w:rPr>
              <w:t xml:space="preserve"> granted a licence for access to the Contractor's documented method and processes for increasing mean time between maintenance cycles for fuel pumps, </w:t>
            </w:r>
            <w:r w:rsidR="00727FD2">
              <w:rPr>
                <w:rFonts w:eastAsia="Calibri"/>
                <w:i/>
              </w:rPr>
              <w:t xml:space="preserve">and </w:t>
            </w:r>
            <w:r w:rsidR="00203E83">
              <w:rPr>
                <w:rFonts w:eastAsia="Calibri"/>
                <w:i/>
              </w:rPr>
              <w:t>that</w:t>
            </w:r>
            <w:r w:rsidR="00727FD2">
              <w:rPr>
                <w:rFonts w:eastAsia="Calibri"/>
                <w:i/>
              </w:rPr>
              <w:t xml:space="preserve"> licence would not be</w:t>
            </w:r>
            <w:r w:rsidR="00F203AA">
              <w:rPr>
                <w:rFonts w:eastAsia="Calibri"/>
                <w:i/>
              </w:rPr>
              <w:t xml:space="preserve"> </w:t>
            </w:r>
            <w:r w:rsidR="00727FD2">
              <w:rPr>
                <w:rFonts w:eastAsia="Calibri"/>
                <w:i/>
              </w:rPr>
              <w:t>subject to</w:t>
            </w:r>
            <w:r w:rsidR="00FB21B3" w:rsidRPr="008E2FBF">
              <w:rPr>
                <w:rFonts w:eastAsia="Calibri"/>
                <w:i/>
              </w:rPr>
              <w:t xml:space="preserve"> </w:t>
            </w:r>
            <w:r w:rsidR="00FB21B3">
              <w:rPr>
                <w:rFonts w:eastAsia="Calibri"/>
                <w:i/>
              </w:rPr>
              <w:t xml:space="preserve">the </w:t>
            </w:r>
            <w:r w:rsidRPr="008E2FBF">
              <w:rPr>
                <w:rFonts w:eastAsia="Calibri"/>
                <w:i/>
              </w:rPr>
              <w:t>restrictions on the use or disclosure of the TD</w:t>
            </w:r>
            <w:r w:rsidR="00FB21B3">
              <w:rPr>
                <w:rFonts w:eastAsia="Calibri"/>
                <w:i/>
              </w:rPr>
              <w:t xml:space="preserve"> that apply to subcontractors</w:t>
            </w:r>
            <w:r w:rsidR="00727FD2">
              <w:rPr>
                <w:rFonts w:eastAsia="Calibri"/>
                <w:i/>
              </w:rPr>
              <w:t xml:space="preserve"> (because Commonwealth Service Providers are granted broader licences than other subcontractors)</w:t>
            </w:r>
            <w:r w:rsidR="00FB21B3">
              <w:rPr>
                <w:rFonts w:eastAsia="Calibri"/>
                <w:i/>
              </w:rPr>
              <w:t>.  This would</w:t>
            </w:r>
            <w:r w:rsidR="00764972">
              <w:rPr>
                <w:rFonts w:eastAsia="Calibri"/>
                <w:i/>
              </w:rPr>
              <w:t xml:space="preserve"> </w:t>
            </w:r>
            <w:r w:rsidR="00FB21B3">
              <w:rPr>
                <w:rFonts w:eastAsia="Calibri"/>
                <w:i/>
              </w:rPr>
              <w:t>significantly harm the</w:t>
            </w:r>
            <w:r w:rsidRPr="008E2FBF">
              <w:rPr>
                <w:rFonts w:eastAsia="Calibri"/>
                <w:i/>
              </w:rPr>
              <w:t xml:space="preserve"> Contractor's competitive advantage</w:t>
            </w:r>
            <w:r w:rsidR="00FB21B3">
              <w:rPr>
                <w:rFonts w:eastAsia="Calibri"/>
                <w:i/>
              </w:rPr>
              <w:t xml:space="preserve"> </w:t>
            </w:r>
            <w:r w:rsidRPr="008E2FBF">
              <w:rPr>
                <w:rFonts w:eastAsia="Calibri"/>
                <w:i/>
              </w:rPr>
              <w:t>a</w:t>
            </w:r>
            <w:r w:rsidR="00FB21B3">
              <w:rPr>
                <w:rFonts w:eastAsia="Calibri"/>
                <w:i/>
              </w:rPr>
              <w:t>s well as</w:t>
            </w:r>
            <w:r w:rsidRPr="008E2FBF">
              <w:rPr>
                <w:rFonts w:eastAsia="Calibri"/>
                <w:i/>
              </w:rPr>
              <w:t xml:space="preserve"> the Contractor's ability to generate revenue from other customers in relation to the maintenance of the fuel pumps included in the Products Being Supported.</w:t>
            </w:r>
          </w:p>
        </w:tc>
      </w:tr>
    </w:tbl>
    <w:p w14:paraId="4C2126FA" w14:textId="77777777" w:rsidR="00AB67E5" w:rsidRDefault="00AB67E5" w:rsidP="000B636C">
      <w:pPr>
        <w:pStyle w:val="ASDEFCONNormal"/>
        <w:sectPr w:rsidR="00AB67E5" w:rsidSect="002E67DA">
          <w:footerReference w:type="default" r:id="rId16"/>
          <w:pgSz w:w="16840" w:h="11907" w:orient="landscape" w:code="9"/>
          <w:pgMar w:top="1418" w:right="1304" w:bottom="1418" w:left="907" w:header="567" w:footer="283" w:gutter="0"/>
          <w:paperSrc w:first="257" w:other="257"/>
          <w:pgNumType w:start="1"/>
          <w:cols w:space="720"/>
          <w:docGrid w:linePitch="272"/>
        </w:sectPr>
      </w:pPr>
    </w:p>
    <w:p w14:paraId="2606C9F5" w14:textId="77777777" w:rsidR="00AB67E5" w:rsidRDefault="00AB67E5" w:rsidP="002E67DA">
      <w:pPr>
        <w:pStyle w:val="ASDEFCONTitle"/>
      </w:pPr>
      <w:r w:rsidRPr="00AB67E5">
        <w:t>ANNEX F – PATENTS, REGISTRABLE DESIGNS AND CIRCUIT LAYOUTS (CORE)</w:t>
      </w:r>
    </w:p>
    <w:p w14:paraId="659FC851" w14:textId="77777777" w:rsidR="00AB67E5" w:rsidRDefault="00AB67E5">
      <w:pPr>
        <w:pStyle w:val="NoteToTenderers-ASDEFCON"/>
      </w:pPr>
      <w:r w:rsidRPr="00AB67E5">
        <w:t>Note to tenderers:  Tenderers are to identify any restrictions that limit the licences granted to the Commonwealth in relation to a Patent, Registrable Design or Circuit Layout (in accordance with clause 5.18 of the draft COC).  A full description of the relevant Products, TD or Software that contains the Patent, Registrable Design or Circuit Layout protection must be included.</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1434"/>
        <w:gridCol w:w="2052"/>
        <w:gridCol w:w="1491"/>
        <w:gridCol w:w="1491"/>
        <w:gridCol w:w="2373"/>
        <w:gridCol w:w="2113"/>
        <w:gridCol w:w="3659"/>
      </w:tblGrid>
      <w:tr w:rsidR="00CE3611" w:rsidRPr="002E67DA" w14:paraId="7A3071A8" w14:textId="77777777" w:rsidTr="002E67DA">
        <w:trPr>
          <w:trHeight w:val="895"/>
        </w:trPr>
        <w:tc>
          <w:tcPr>
            <w:tcW w:w="491"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6E09A3F5" w14:textId="77777777" w:rsidR="00AB67E5" w:rsidRPr="002E67DA" w:rsidRDefault="00AB67E5" w:rsidP="002E67DA">
            <w:pPr>
              <w:pStyle w:val="Table10ptHeading-ASDEFCON"/>
              <w:rPr>
                <w:rFonts w:eastAsia="Calibri"/>
              </w:rPr>
            </w:pPr>
            <w:r w:rsidRPr="002E67DA">
              <w:rPr>
                <w:rFonts w:eastAsia="Calibri"/>
              </w:rPr>
              <w:t>Unique Line Item Description</w:t>
            </w:r>
          </w:p>
        </w:tc>
        <w:tc>
          <w:tcPr>
            <w:tcW w:w="702"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02E3EEF6" w14:textId="77777777" w:rsidR="00AB67E5" w:rsidRPr="002E67DA" w:rsidRDefault="00AB67E5" w:rsidP="002E67DA">
            <w:pPr>
              <w:pStyle w:val="Table10ptHeading-ASDEFCON"/>
              <w:rPr>
                <w:rFonts w:eastAsia="Calibri"/>
              </w:rPr>
            </w:pPr>
            <w:r w:rsidRPr="002E67DA">
              <w:rPr>
                <w:rFonts w:eastAsia="Calibri"/>
              </w:rPr>
              <w:t>Services containing a Patent, Registrable Design or Circuit Layout</w:t>
            </w:r>
          </w:p>
          <w:p w14:paraId="7D52F7B4" w14:textId="77777777" w:rsidR="00AB67E5" w:rsidRPr="002E67DA" w:rsidRDefault="00AB67E5" w:rsidP="002E67DA">
            <w:pPr>
              <w:pStyle w:val="Table10ptHeading-ASDEFCON"/>
              <w:rPr>
                <w:rFonts w:eastAsia="Calibri"/>
              </w:rPr>
            </w:pPr>
            <w:r w:rsidRPr="002E67DA">
              <w:rPr>
                <w:rFonts w:eastAsia="Calibri"/>
              </w:rPr>
              <w:t>(pending or registered)</w:t>
            </w:r>
          </w:p>
        </w:tc>
        <w:tc>
          <w:tcPr>
            <w:tcW w:w="510"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72F5B844" w14:textId="77777777" w:rsidR="00AB67E5" w:rsidRPr="002E67DA" w:rsidRDefault="00AB67E5" w:rsidP="002E67DA">
            <w:pPr>
              <w:pStyle w:val="Table10ptHeading-ASDEFCON"/>
              <w:rPr>
                <w:rFonts w:eastAsia="Calibri"/>
              </w:rPr>
            </w:pPr>
            <w:r w:rsidRPr="002E67DA">
              <w:rPr>
                <w:rFonts w:eastAsia="Calibri"/>
              </w:rPr>
              <w:t>Type of IP</w:t>
            </w:r>
          </w:p>
          <w:p w14:paraId="57AAEDA1" w14:textId="77777777" w:rsidR="00AB67E5" w:rsidRPr="002E67DA" w:rsidRDefault="00AB67E5" w:rsidP="002E67DA">
            <w:pPr>
              <w:pStyle w:val="Table10ptHeading-ASDEFCON"/>
              <w:rPr>
                <w:rFonts w:eastAsia="Calibri"/>
              </w:rPr>
            </w:pPr>
            <w:r w:rsidRPr="002E67DA">
              <w:rPr>
                <w:rFonts w:eastAsia="Calibri"/>
              </w:rPr>
              <w:t>(Patent, Registrable Design or Circuit Layout)</w:t>
            </w:r>
          </w:p>
        </w:tc>
        <w:tc>
          <w:tcPr>
            <w:tcW w:w="510"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536B2D1A" w14:textId="77777777" w:rsidR="00AB67E5" w:rsidRPr="002E67DA" w:rsidRDefault="00AB67E5" w:rsidP="002E67DA">
            <w:pPr>
              <w:pStyle w:val="Table10ptHeading-ASDEFCON"/>
              <w:rPr>
                <w:rFonts w:eastAsia="Calibri"/>
              </w:rPr>
            </w:pPr>
            <w:r w:rsidRPr="002E67DA">
              <w:rPr>
                <w:rFonts w:eastAsia="Calibri"/>
              </w:rPr>
              <w:t>Owner / IP Applicant</w:t>
            </w:r>
          </w:p>
        </w:tc>
        <w:tc>
          <w:tcPr>
            <w:tcW w:w="812"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51AE22B3" w14:textId="77777777" w:rsidR="00AB67E5" w:rsidRPr="002E67DA" w:rsidRDefault="00AB67E5" w:rsidP="002E67DA">
            <w:pPr>
              <w:pStyle w:val="Table10ptHeading-ASDEFCON"/>
              <w:rPr>
                <w:rFonts w:eastAsia="Calibri"/>
              </w:rPr>
            </w:pPr>
            <w:r w:rsidRPr="002E67DA">
              <w:rPr>
                <w:rFonts w:eastAsia="Calibri"/>
              </w:rPr>
              <w:t>Application / Registration No</w:t>
            </w:r>
          </w:p>
          <w:p w14:paraId="20760838" w14:textId="77777777" w:rsidR="00AB67E5" w:rsidRPr="002E67DA" w:rsidRDefault="00AB67E5" w:rsidP="002E67DA">
            <w:pPr>
              <w:pStyle w:val="Table10ptHeading-ASDEFCON"/>
              <w:rPr>
                <w:rFonts w:eastAsia="Calibri"/>
              </w:rPr>
            </w:pPr>
            <w:r w:rsidRPr="002E67DA">
              <w:rPr>
                <w:rFonts w:eastAsia="Calibri"/>
              </w:rPr>
              <w:t>(if applicable)</w:t>
            </w:r>
          </w:p>
        </w:tc>
        <w:tc>
          <w:tcPr>
            <w:tcW w:w="723"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6B2601FD" w14:textId="77777777" w:rsidR="00AB67E5" w:rsidRPr="002E67DA" w:rsidRDefault="00AB67E5" w:rsidP="002E67DA">
            <w:pPr>
              <w:pStyle w:val="Table10ptHeading-ASDEFCON"/>
              <w:rPr>
                <w:rFonts w:eastAsia="Calibri"/>
              </w:rPr>
            </w:pPr>
            <w:r w:rsidRPr="002E67DA">
              <w:rPr>
                <w:rFonts w:eastAsia="Calibri"/>
              </w:rPr>
              <w:t>Countries or regions of permitted use</w:t>
            </w:r>
          </w:p>
        </w:tc>
        <w:tc>
          <w:tcPr>
            <w:tcW w:w="1253"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2C274936" w14:textId="77777777" w:rsidR="00AB67E5" w:rsidRPr="002E67DA" w:rsidRDefault="00AB67E5" w:rsidP="002E67DA">
            <w:pPr>
              <w:pStyle w:val="Table10ptHeading-ASDEFCON"/>
              <w:rPr>
                <w:rFonts w:eastAsia="Calibri"/>
              </w:rPr>
            </w:pPr>
            <w:r w:rsidRPr="002E67DA">
              <w:rPr>
                <w:rFonts w:eastAsia="Calibri"/>
              </w:rPr>
              <w:t>Restriction</w:t>
            </w:r>
          </w:p>
        </w:tc>
      </w:tr>
      <w:tr w:rsidR="00CE3611" w14:paraId="63150941" w14:textId="77777777" w:rsidTr="00AB67E5">
        <w:tc>
          <w:tcPr>
            <w:tcW w:w="491" w:type="pct"/>
            <w:tcBorders>
              <w:top w:val="single" w:sz="6" w:space="0" w:color="auto"/>
              <w:bottom w:val="single" w:sz="6" w:space="0" w:color="auto"/>
            </w:tcBorders>
            <w:shd w:val="pct15" w:color="auto" w:fill="auto"/>
          </w:tcPr>
          <w:p w14:paraId="2F854074" w14:textId="77777777" w:rsidR="00AB67E5" w:rsidRDefault="00AB67E5" w:rsidP="002E67DA">
            <w:pPr>
              <w:pStyle w:val="Table10ptHeading-ASDEFCON"/>
            </w:pPr>
            <w:r>
              <w:t>(a)</w:t>
            </w:r>
          </w:p>
        </w:tc>
        <w:tc>
          <w:tcPr>
            <w:tcW w:w="702" w:type="pct"/>
            <w:tcBorders>
              <w:top w:val="single" w:sz="6" w:space="0" w:color="auto"/>
              <w:bottom w:val="single" w:sz="6" w:space="0" w:color="auto"/>
            </w:tcBorders>
            <w:shd w:val="pct15" w:color="auto" w:fill="auto"/>
          </w:tcPr>
          <w:p w14:paraId="260676E3" w14:textId="77777777" w:rsidR="00AB67E5" w:rsidRDefault="00AB67E5" w:rsidP="002E67DA">
            <w:pPr>
              <w:pStyle w:val="Table10ptHeading-ASDEFCON"/>
            </w:pPr>
            <w:r>
              <w:t>(b)</w:t>
            </w:r>
          </w:p>
        </w:tc>
        <w:tc>
          <w:tcPr>
            <w:tcW w:w="510" w:type="pct"/>
            <w:tcBorders>
              <w:top w:val="single" w:sz="6" w:space="0" w:color="auto"/>
              <w:bottom w:val="single" w:sz="6" w:space="0" w:color="auto"/>
            </w:tcBorders>
            <w:shd w:val="pct15" w:color="auto" w:fill="auto"/>
          </w:tcPr>
          <w:p w14:paraId="610BA6A6" w14:textId="77777777" w:rsidR="00AB67E5" w:rsidRDefault="00AB67E5" w:rsidP="002E67DA">
            <w:pPr>
              <w:pStyle w:val="Table10ptHeading-ASDEFCON"/>
            </w:pPr>
            <w:r>
              <w:t>(c)</w:t>
            </w:r>
          </w:p>
        </w:tc>
        <w:tc>
          <w:tcPr>
            <w:tcW w:w="510" w:type="pct"/>
            <w:tcBorders>
              <w:top w:val="single" w:sz="6" w:space="0" w:color="auto"/>
              <w:bottom w:val="single" w:sz="6" w:space="0" w:color="auto"/>
            </w:tcBorders>
            <w:shd w:val="pct15" w:color="auto" w:fill="auto"/>
          </w:tcPr>
          <w:p w14:paraId="17051363" w14:textId="77777777" w:rsidR="00AB67E5" w:rsidRDefault="00AB67E5" w:rsidP="002E67DA">
            <w:pPr>
              <w:pStyle w:val="Table10ptHeading-ASDEFCON"/>
            </w:pPr>
            <w:r>
              <w:t>(d)</w:t>
            </w:r>
          </w:p>
        </w:tc>
        <w:tc>
          <w:tcPr>
            <w:tcW w:w="812" w:type="pct"/>
            <w:tcBorders>
              <w:top w:val="single" w:sz="6" w:space="0" w:color="auto"/>
              <w:bottom w:val="single" w:sz="6" w:space="0" w:color="auto"/>
            </w:tcBorders>
            <w:shd w:val="pct15" w:color="auto" w:fill="auto"/>
          </w:tcPr>
          <w:p w14:paraId="38C571B7" w14:textId="77777777" w:rsidR="00AB67E5" w:rsidRDefault="00AB67E5" w:rsidP="002E67DA">
            <w:pPr>
              <w:pStyle w:val="Table10ptHeading-ASDEFCON"/>
            </w:pPr>
            <w:r>
              <w:t>(e)</w:t>
            </w:r>
          </w:p>
        </w:tc>
        <w:tc>
          <w:tcPr>
            <w:tcW w:w="723" w:type="pct"/>
            <w:tcBorders>
              <w:top w:val="single" w:sz="6" w:space="0" w:color="auto"/>
              <w:bottom w:val="single" w:sz="6" w:space="0" w:color="auto"/>
            </w:tcBorders>
            <w:shd w:val="pct15" w:color="auto" w:fill="auto"/>
          </w:tcPr>
          <w:p w14:paraId="09A84E87" w14:textId="77777777" w:rsidR="00AB67E5" w:rsidRDefault="00AB67E5" w:rsidP="002E67DA">
            <w:pPr>
              <w:pStyle w:val="Table10ptHeading-ASDEFCON"/>
            </w:pPr>
            <w:r>
              <w:t>(f)</w:t>
            </w:r>
          </w:p>
        </w:tc>
        <w:tc>
          <w:tcPr>
            <w:tcW w:w="1253" w:type="pct"/>
            <w:tcBorders>
              <w:top w:val="single" w:sz="6" w:space="0" w:color="auto"/>
              <w:bottom w:val="single" w:sz="6" w:space="0" w:color="auto"/>
            </w:tcBorders>
            <w:shd w:val="pct15" w:color="auto" w:fill="auto"/>
          </w:tcPr>
          <w:p w14:paraId="18D94ABE" w14:textId="77777777" w:rsidR="00AB67E5" w:rsidRDefault="00AB67E5" w:rsidP="002E67DA">
            <w:pPr>
              <w:pStyle w:val="Table10ptHeading-ASDEFCON"/>
            </w:pPr>
            <w:r>
              <w:t>(g)</w:t>
            </w:r>
          </w:p>
        </w:tc>
      </w:tr>
      <w:tr w:rsidR="00AB67E5" w:rsidRPr="002E67DA" w14:paraId="639E0D13" w14:textId="77777777" w:rsidTr="002E67DA">
        <w:tc>
          <w:tcPr>
            <w:tcW w:w="491" w:type="pct"/>
            <w:tcBorders>
              <w:top w:val="single" w:sz="6" w:space="0" w:color="auto"/>
            </w:tcBorders>
          </w:tcPr>
          <w:p w14:paraId="3910DF3A" w14:textId="0074F04E" w:rsidR="00AB67E5" w:rsidRPr="002E67DA" w:rsidRDefault="002E67DA" w:rsidP="002E67DA">
            <w:pPr>
              <w:pStyle w:val="Table10ptText-ASDEFCON"/>
              <w:rPr>
                <w:i/>
                <w:highlight w:val="yellow"/>
              </w:rPr>
            </w:pPr>
            <w:r>
              <w:rPr>
                <w:i/>
              </w:rPr>
              <w:t>Example:</w:t>
            </w:r>
            <w:r>
              <w:rPr>
                <w:i/>
              </w:rPr>
              <w:br/>
            </w:r>
            <w:r w:rsidR="00AB67E5" w:rsidRPr="002E67DA">
              <w:rPr>
                <w:i/>
              </w:rPr>
              <w:t>G-F-1</w:t>
            </w:r>
          </w:p>
        </w:tc>
        <w:tc>
          <w:tcPr>
            <w:tcW w:w="702" w:type="pct"/>
            <w:tcBorders>
              <w:top w:val="single" w:sz="6" w:space="0" w:color="auto"/>
            </w:tcBorders>
          </w:tcPr>
          <w:p w14:paraId="57507B07" w14:textId="77777777" w:rsidR="00AB67E5" w:rsidRPr="002E67DA" w:rsidRDefault="00AB67E5" w:rsidP="002E67DA">
            <w:pPr>
              <w:pStyle w:val="Table10ptText-ASDEFCON"/>
              <w:rPr>
                <w:i/>
              </w:rPr>
            </w:pPr>
            <w:r w:rsidRPr="002E67DA">
              <w:rPr>
                <w:i/>
              </w:rPr>
              <w:t>Signal Integrator Manual (Method of Signal Capture)</w:t>
            </w:r>
          </w:p>
        </w:tc>
        <w:tc>
          <w:tcPr>
            <w:tcW w:w="510" w:type="pct"/>
            <w:tcBorders>
              <w:top w:val="single" w:sz="6" w:space="0" w:color="auto"/>
            </w:tcBorders>
          </w:tcPr>
          <w:p w14:paraId="458C95E8" w14:textId="77777777" w:rsidR="00AB67E5" w:rsidRPr="002E67DA" w:rsidRDefault="00AB67E5" w:rsidP="002E67DA">
            <w:pPr>
              <w:pStyle w:val="Table10ptText-ASDEFCON"/>
              <w:rPr>
                <w:i/>
              </w:rPr>
            </w:pPr>
            <w:r w:rsidRPr="002E67DA">
              <w:rPr>
                <w:i/>
              </w:rPr>
              <w:t>Patent</w:t>
            </w:r>
          </w:p>
        </w:tc>
        <w:tc>
          <w:tcPr>
            <w:tcW w:w="510" w:type="pct"/>
            <w:tcBorders>
              <w:top w:val="single" w:sz="6" w:space="0" w:color="auto"/>
            </w:tcBorders>
          </w:tcPr>
          <w:p w14:paraId="3D5FC15E" w14:textId="77777777" w:rsidR="00AB67E5" w:rsidRPr="002E67DA" w:rsidRDefault="00AB67E5" w:rsidP="002E67DA">
            <w:pPr>
              <w:pStyle w:val="Table10ptText-ASDEFCON"/>
              <w:rPr>
                <w:i/>
              </w:rPr>
            </w:pPr>
            <w:r w:rsidRPr="002E67DA">
              <w:rPr>
                <w:i/>
              </w:rPr>
              <w:t xml:space="preserve">XYZ Pty Ltd </w:t>
            </w:r>
          </w:p>
        </w:tc>
        <w:tc>
          <w:tcPr>
            <w:tcW w:w="812" w:type="pct"/>
            <w:tcBorders>
              <w:top w:val="single" w:sz="6" w:space="0" w:color="auto"/>
            </w:tcBorders>
          </w:tcPr>
          <w:p w14:paraId="1D8A160E" w14:textId="77777777" w:rsidR="00AB67E5" w:rsidRPr="002E67DA" w:rsidRDefault="00AB67E5" w:rsidP="002E67DA">
            <w:pPr>
              <w:pStyle w:val="Table10ptText-ASDEFCON"/>
              <w:rPr>
                <w:i/>
              </w:rPr>
            </w:pPr>
            <w:r w:rsidRPr="002E67DA">
              <w:rPr>
                <w:i/>
              </w:rPr>
              <w:t>AU 01 233 323232</w:t>
            </w:r>
          </w:p>
        </w:tc>
        <w:tc>
          <w:tcPr>
            <w:tcW w:w="723" w:type="pct"/>
            <w:tcBorders>
              <w:top w:val="single" w:sz="6" w:space="0" w:color="auto"/>
            </w:tcBorders>
          </w:tcPr>
          <w:p w14:paraId="557CE7EF" w14:textId="77777777" w:rsidR="00AB67E5" w:rsidRPr="002E67DA" w:rsidRDefault="00AB67E5" w:rsidP="002E67DA">
            <w:pPr>
              <w:pStyle w:val="Table10ptText-ASDEFCON"/>
              <w:rPr>
                <w:i/>
              </w:rPr>
            </w:pPr>
            <w:r w:rsidRPr="002E67DA">
              <w:rPr>
                <w:i/>
              </w:rPr>
              <w:t>Australia only</w:t>
            </w:r>
          </w:p>
        </w:tc>
        <w:tc>
          <w:tcPr>
            <w:tcW w:w="1253" w:type="pct"/>
            <w:tcBorders>
              <w:top w:val="single" w:sz="6" w:space="0" w:color="auto"/>
            </w:tcBorders>
          </w:tcPr>
          <w:p w14:paraId="33DA954A" w14:textId="77777777" w:rsidR="00AB67E5" w:rsidRPr="002E67DA" w:rsidRDefault="00AB67E5" w:rsidP="002E67DA">
            <w:pPr>
              <w:pStyle w:val="Table10ptText-ASDEFCON"/>
              <w:rPr>
                <w:i/>
              </w:rPr>
            </w:pPr>
            <w:r w:rsidRPr="002E67DA">
              <w:rPr>
                <w:i/>
              </w:rPr>
              <w:t>The Commonwealth may not make an integrated circuit from the plans contained in the manual for a period of 3 years.</w:t>
            </w:r>
          </w:p>
        </w:tc>
      </w:tr>
      <w:tr w:rsidR="00AB67E5" w:rsidRPr="002E67DA" w14:paraId="1D395A4F" w14:textId="77777777" w:rsidTr="002E67DA">
        <w:tc>
          <w:tcPr>
            <w:tcW w:w="491" w:type="pct"/>
          </w:tcPr>
          <w:p w14:paraId="41687FE6" w14:textId="20367702" w:rsidR="00AB67E5" w:rsidRPr="002E67DA" w:rsidRDefault="002E67DA" w:rsidP="002E67DA">
            <w:pPr>
              <w:pStyle w:val="Table10ptText-ASDEFCON"/>
              <w:rPr>
                <w:i/>
                <w:highlight w:val="yellow"/>
              </w:rPr>
            </w:pPr>
            <w:r>
              <w:rPr>
                <w:i/>
              </w:rPr>
              <w:t>Example:</w:t>
            </w:r>
            <w:r>
              <w:rPr>
                <w:i/>
              </w:rPr>
              <w:br/>
            </w:r>
            <w:r w:rsidR="00AB67E5" w:rsidRPr="002E67DA">
              <w:rPr>
                <w:i/>
              </w:rPr>
              <w:t>G-F-2</w:t>
            </w:r>
          </w:p>
        </w:tc>
        <w:tc>
          <w:tcPr>
            <w:tcW w:w="702" w:type="pct"/>
          </w:tcPr>
          <w:p w14:paraId="60FF66E8" w14:textId="77777777" w:rsidR="00AB67E5" w:rsidRPr="002E67DA" w:rsidRDefault="00AB67E5" w:rsidP="002E67DA">
            <w:pPr>
              <w:pStyle w:val="Table10ptText-ASDEFCON"/>
              <w:rPr>
                <w:i/>
              </w:rPr>
            </w:pPr>
            <w:r w:rsidRPr="002E67DA">
              <w:rPr>
                <w:i/>
              </w:rPr>
              <w:t xml:space="preserve">Signal Integrator Device </w:t>
            </w:r>
          </w:p>
        </w:tc>
        <w:tc>
          <w:tcPr>
            <w:tcW w:w="510" w:type="pct"/>
          </w:tcPr>
          <w:p w14:paraId="411BAFA4" w14:textId="77777777" w:rsidR="00AB67E5" w:rsidRPr="002E67DA" w:rsidRDefault="00AB67E5" w:rsidP="002E67DA">
            <w:pPr>
              <w:pStyle w:val="Table10ptText-ASDEFCON"/>
              <w:rPr>
                <w:i/>
              </w:rPr>
            </w:pPr>
            <w:r w:rsidRPr="002E67DA">
              <w:rPr>
                <w:i/>
              </w:rPr>
              <w:t>Circuit Layout</w:t>
            </w:r>
          </w:p>
        </w:tc>
        <w:tc>
          <w:tcPr>
            <w:tcW w:w="510" w:type="pct"/>
          </w:tcPr>
          <w:p w14:paraId="5E2E0CDB" w14:textId="77777777" w:rsidR="00AB67E5" w:rsidRPr="002E67DA" w:rsidRDefault="00AB67E5" w:rsidP="002E67DA">
            <w:pPr>
              <w:pStyle w:val="Table10ptText-ASDEFCON"/>
              <w:rPr>
                <w:i/>
              </w:rPr>
            </w:pPr>
            <w:r w:rsidRPr="002E67DA">
              <w:rPr>
                <w:i/>
              </w:rPr>
              <w:t xml:space="preserve">XYZ Pty Ltd </w:t>
            </w:r>
          </w:p>
        </w:tc>
        <w:tc>
          <w:tcPr>
            <w:tcW w:w="812" w:type="pct"/>
          </w:tcPr>
          <w:p w14:paraId="27B00514" w14:textId="77777777" w:rsidR="00AB67E5" w:rsidRPr="002E67DA" w:rsidRDefault="00AB67E5" w:rsidP="002E67DA">
            <w:pPr>
              <w:pStyle w:val="Table10ptText-ASDEFCON"/>
              <w:rPr>
                <w:i/>
              </w:rPr>
            </w:pPr>
            <w:r w:rsidRPr="002E67DA">
              <w:rPr>
                <w:i/>
              </w:rPr>
              <w:t>N/A</w:t>
            </w:r>
          </w:p>
        </w:tc>
        <w:tc>
          <w:tcPr>
            <w:tcW w:w="723" w:type="pct"/>
          </w:tcPr>
          <w:p w14:paraId="26BF89BD" w14:textId="77777777" w:rsidR="00AB67E5" w:rsidRPr="002E67DA" w:rsidRDefault="00AB67E5" w:rsidP="002E67DA">
            <w:pPr>
              <w:pStyle w:val="Table10ptText-ASDEFCON"/>
              <w:rPr>
                <w:i/>
              </w:rPr>
            </w:pPr>
            <w:r w:rsidRPr="002E67DA">
              <w:rPr>
                <w:i/>
              </w:rPr>
              <w:t>Australia and United States only</w:t>
            </w:r>
          </w:p>
        </w:tc>
        <w:tc>
          <w:tcPr>
            <w:tcW w:w="1253" w:type="pct"/>
          </w:tcPr>
          <w:p w14:paraId="1D13D75A" w14:textId="77777777" w:rsidR="00AB67E5" w:rsidRPr="002E67DA" w:rsidRDefault="00AB67E5" w:rsidP="002E67DA">
            <w:pPr>
              <w:pStyle w:val="Table10ptText-ASDEFCON"/>
              <w:rPr>
                <w:i/>
              </w:rPr>
            </w:pPr>
            <w:r w:rsidRPr="002E67DA">
              <w:rPr>
                <w:i/>
              </w:rPr>
              <w:t>The Commonwealth may not disclose the device to a third party for a period of 5 years from the Operative Date.</w:t>
            </w:r>
          </w:p>
        </w:tc>
      </w:tr>
    </w:tbl>
    <w:p w14:paraId="05AE28C9" w14:textId="0B4DFDC9" w:rsidR="004C2B47" w:rsidRPr="00DC5182" w:rsidRDefault="004C2B47" w:rsidP="002E67DA">
      <w:pPr>
        <w:pStyle w:val="ASDEFCONNormal"/>
      </w:pPr>
    </w:p>
    <w:sectPr w:rsidR="004C2B47" w:rsidRPr="00DC5182" w:rsidSect="00C63F35">
      <w:footerReference w:type="default" r:id="rId17"/>
      <w:pgSz w:w="16840" w:h="11907" w:orient="landscape" w:code="9"/>
      <w:pgMar w:top="1418" w:right="1304" w:bottom="1418" w:left="907" w:header="567" w:footer="283" w:gutter="0"/>
      <w:paperSrc w:first="257" w:other="25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AE4976" w14:textId="77777777" w:rsidR="00483EEC" w:rsidRDefault="00483EEC">
      <w:r>
        <w:separator/>
      </w:r>
    </w:p>
  </w:endnote>
  <w:endnote w:type="continuationSeparator" w:id="0">
    <w:p w14:paraId="2D567178" w14:textId="77777777" w:rsidR="00483EEC" w:rsidRDefault="00483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E8C0D" w14:textId="594D892B" w:rsidR="00CB017D" w:rsidRDefault="00B478D8" w:rsidP="008E2FBF">
    <w:pPr>
      <w:pStyle w:val="ASDEFCONNormal"/>
      <w:tabs>
        <w:tab w:val="right" w:pos="14606"/>
      </w:tabs>
      <w:rPr>
        <w:rStyle w:val="PageNumber"/>
        <w:sz w:val="16"/>
      </w:rPr>
    </w:pPr>
    <w:r w:rsidRPr="000F6197">
      <w:rPr>
        <w:sz w:val="16"/>
      </w:rPr>
      <w:fldChar w:fldCharType="begin"/>
    </w:r>
    <w:r w:rsidRPr="000F6197">
      <w:rPr>
        <w:sz w:val="16"/>
      </w:rPr>
      <w:instrText xml:space="preserve"> SUBJECT   \* MERGEFORMAT </w:instrText>
    </w:r>
    <w:r w:rsidRPr="000F6197">
      <w:rPr>
        <w:sz w:val="16"/>
      </w:rPr>
      <w:fldChar w:fldCharType="separate"/>
    </w:r>
    <w:r w:rsidR="00C055A7">
      <w:rPr>
        <w:sz w:val="16"/>
      </w:rPr>
      <w:t>Attachment to Draft Conditions of Contract</w:t>
    </w:r>
    <w:r w:rsidRPr="000F6197">
      <w:rPr>
        <w:sz w:val="16"/>
      </w:rPr>
      <w:fldChar w:fldCharType="end"/>
    </w:r>
    <w:r w:rsidR="00CB017D" w:rsidRPr="000F6197">
      <w:rPr>
        <w:sz w:val="16"/>
      </w:rPr>
      <w:t xml:space="preserve"> (</w:t>
    </w:r>
    <w:r w:rsidRPr="000F6197">
      <w:rPr>
        <w:sz w:val="16"/>
      </w:rPr>
      <w:fldChar w:fldCharType="begin"/>
    </w:r>
    <w:r w:rsidRPr="000F6197">
      <w:rPr>
        <w:sz w:val="16"/>
      </w:rPr>
      <w:instrText xml:space="preserve"> DOCPROPERTY Version </w:instrText>
    </w:r>
    <w:r w:rsidRPr="000F6197">
      <w:rPr>
        <w:sz w:val="16"/>
      </w:rPr>
      <w:fldChar w:fldCharType="separate"/>
    </w:r>
    <w:r w:rsidR="005E1120">
      <w:rPr>
        <w:sz w:val="16"/>
      </w:rPr>
      <w:t>V5.0</w:t>
    </w:r>
    <w:r w:rsidRPr="000F6197">
      <w:rPr>
        <w:sz w:val="16"/>
      </w:rPr>
      <w:fldChar w:fldCharType="end"/>
    </w:r>
    <w:r w:rsidR="00CB017D" w:rsidRPr="000F6197">
      <w:rPr>
        <w:sz w:val="16"/>
      </w:rPr>
      <w:t>)</w:t>
    </w:r>
    <w:r w:rsidR="00CB017D" w:rsidRPr="000F6197">
      <w:rPr>
        <w:sz w:val="16"/>
      </w:rPr>
      <w:tab/>
      <w:t>G-</w:t>
    </w:r>
    <w:r w:rsidR="00CB017D" w:rsidRPr="000F6197">
      <w:rPr>
        <w:rStyle w:val="PageNumber"/>
        <w:sz w:val="16"/>
      </w:rPr>
      <w:fldChar w:fldCharType="begin"/>
    </w:r>
    <w:r w:rsidR="00CB017D" w:rsidRPr="000F6197">
      <w:rPr>
        <w:rStyle w:val="PageNumber"/>
        <w:sz w:val="16"/>
      </w:rPr>
      <w:instrText xml:space="preserve"> PAGE </w:instrText>
    </w:r>
    <w:r w:rsidR="00CB017D" w:rsidRPr="000F6197">
      <w:rPr>
        <w:rStyle w:val="PageNumber"/>
        <w:sz w:val="16"/>
      </w:rPr>
      <w:fldChar w:fldCharType="separate"/>
    </w:r>
    <w:r w:rsidR="000007BE">
      <w:rPr>
        <w:rStyle w:val="PageNumber"/>
        <w:noProof/>
        <w:sz w:val="16"/>
      </w:rPr>
      <w:t>1</w:t>
    </w:r>
    <w:r w:rsidR="00CB017D" w:rsidRPr="000F6197">
      <w:rPr>
        <w:rStyle w:val="PageNumber"/>
        <w:sz w:val="16"/>
      </w:rPr>
      <w:fldChar w:fldCharType="end"/>
    </w:r>
  </w:p>
  <w:tbl>
    <w:tblPr>
      <w:tblW w:w="5000" w:type="pct"/>
      <w:tblLook w:val="0000" w:firstRow="0" w:lastRow="0" w:firstColumn="0" w:lastColumn="0" w:noHBand="0" w:noVBand="0"/>
    </w:tblPr>
    <w:tblGrid>
      <w:gridCol w:w="14629"/>
    </w:tblGrid>
    <w:tr w:rsidR="00CE1BA6" w14:paraId="4E905F1E" w14:textId="77777777" w:rsidTr="006359D3">
      <w:tc>
        <w:tcPr>
          <w:tcW w:w="5000" w:type="pct"/>
        </w:tcPr>
        <w:p w14:paraId="2C122133" w14:textId="505C0193" w:rsidR="00CE1BA6" w:rsidRDefault="00AD1EB1" w:rsidP="008E2FBF">
          <w:pPr>
            <w:pStyle w:val="ASDEFCONHeaderFooterClassification"/>
          </w:pPr>
          <w:fldSimple w:instr=" DOCPROPERTY Classification ">
            <w:r w:rsidR="005E1120">
              <w:t>OFFICIAL</w:t>
            </w:r>
          </w:fldSimple>
        </w:p>
      </w:tc>
    </w:tr>
  </w:tbl>
  <w:p w14:paraId="139DE794" w14:textId="77777777" w:rsidR="004D20BF" w:rsidRPr="000F6197" w:rsidRDefault="004D20BF" w:rsidP="008E2FBF">
    <w:pPr>
      <w:pStyle w:val="ASDEFCONNormal"/>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8F7FD" w14:textId="03C40C25" w:rsidR="00FF7A51" w:rsidRDefault="00FF7A51" w:rsidP="008E2FBF">
    <w:pPr>
      <w:pStyle w:val="ASDEFCONNormal"/>
      <w:tabs>
        <w:tab w:val="right" w:pos="14606"/>
      </w:tabs>
      <w:rPr>
        <w:rStyle w:val="PageNumber"/>
        <w:sz w:val="16"/>
      </w:rPr>
    </w:pPr>
    <w:r w:rsidRPr="000F6197">
      <w:rPr>
        <w:sz w:val="16"/>
      </w:rPr>
      <w:fldChar w:fldCharType="begin"/>
    </w:r>
    <w:r w:rsidRPr="000F6197">
      <w:rPr>
        <w:sz w:val="16"/>
      </w:rPr>
      <w:instrText xml:space="preserve"> SUBJECT   \* MERGEFORMAT </w:instrText>
    </w:r>
    <w:r w:rsidRPr="000F6197">
      <w:rPr>
        <w:sz w:val="16"/>
      </w:rPr>
      <w:fldChar w:fldCharType="separate"/>
    </w:r>
    <w:r w:rsidR="00C055A7">
      <w:rPr>
        <w:sz w:val="16"/>
      </w:rPr>
      <w:t>Attachment to Draft Conditions of Contract</w:t>
    </w:r>
    <w:r w:rsidRPr="000F6197">
      <w:rPr>
        <w:sz w:val="16"/>
      </w:rPr>
      <w:fldChar w:fldCharType="end"/>
    </w:r>
    <w:r w:rsidRPr="000F6197">
      <w:rPr>
        <w:sz w:val="16"/>
      </w:rPr>
      <w:t xml:space="preserve"> (</w:t>
    </w:r>
    <w:r w:rsidRPr="000F6197">
      <w:rPr>
        <w:sz w:val="16"/>
      </w:rPr>
      <w:fldChar w:fldCharType="begin"/>
    </w:r>
    <w:r w:rsidRPr="000F6197">
      <w:rPr>
        <w:sz w:val="16"/>
      </w:rPr>
      <w:instrText xml:space="preserve"> DOCPROPERTY Version </w:instrText>
    </w:r>
    <w:r w:rsidRPr="000F6197">
      <w:rPr>
        <w:sz w:val="16"/>
      </w:rPr>
      <w:fldChar w:fldCharType="separate"/>
    </w:r>
    <w:r w:rsidR="005E1120">
      <w:rPr>
        <w:sz w:val="16"/>
      </w:rPr>
      <w:t>V5.0</w:t>
    </w:r>
    <w:r w:rsidRPr="000F6197">
      <w:rPr>
        <w:sz w:val="16"/>
      </w:rPr>
      <w:fldChar w:fldCharType="end"/>
    </w:r>
    <w:r w:rsidRPr="000F6197">
      <w:rPr>
        <w:sz w:val="16"/>
      </w:rPr>
      <w:t>)</w:t>
    </w:r>
    <w:r w:rsidRPr="000F6197">
      <w:rPr>
        <w:sz w:val="16"/>
      </w:rPr>
      <w:tab/>
      <w:t>G-</w:t>
    </w:r>
    <w:r>
      <w:rPr>
        <w:sz w:val="16"/>
      </w:rPr>
      <w:t>A</w:t>
    </w:r>
    <w:r w:rsidRPr="000F6197">
      <w:rPr>
        <w:rStyle w:val="PageNumber"/>
        <w:sz w:val="16"/>
      </w:rPr>
      <w:fldChar w:fldCharType="begin"/>
    </w:r>
    <w:r w:rsidRPr="000F6197">
      <w:rPr>
        <w:rStyle w:val="PageNumber"/>
        <w:sz w:val="16"/>
      </w:rPr>
      <w:instrText xml:space="preserve"> PAGE </w:instrText>
    </w:r>
    <w:r w:rsidRPr="000F6197">
      <w:rPr>
        <w:rStyle w:val="PageNumber"/>
        <w:sz w:val="16"/>
      </w:rPr>
      <w:fldChar w:fldCharType="separate"/>
    </w:r>
    <w:r w:rsidR="000007BE">
      <w:rPr>
        <w:rStyle w:val="PageNumber"/>
        <w:noProof/>
        <w:sz w:val="16"/>
      </w:rPr>
      <w:t>1</w:t>
    </w:r>
    <w:r w:rsidRPr="000F6197">
      <w:rPr>
        <w:rStyle w:val="PageNumber"/>
        <w:sz w:val="16"/>
      </w:rPr>
      <w:fldChar w:fldCharType="end"/>
    </w:r>
  </w:p>
  <w:tbl>
    <w:tblPr>
      <w:tblW w:w="5000" w:type="pct"/>
      <w:tblLook w:val="0000" w:firstRow="0" w:lastRow="0" w:firstColumn="0" w:lastColumn="0" w:noHBand="0" w:noVBand="0"/>
    </w:tblPr>
    <w:tblGrid>
      <w:gridCol w:w="14629"/>
    </w:tblGrid>
    <w:tr w:rsidR="00FF7A51" w14:paraId="2A77E13E" w14:textId="77777777" w:rsidTr="006359D3">
      <w:tc>
        <w:tcPr>
          <w:tcW w:w="5000" w:type="pct"/>
        </w:tcPr>
        <w:p w14:paraId="715379E3" w14:textId="6409D6B5" w:rsidR="00FF7A51" w:rsidRDefault="00AD1EB1" w:rsidP="008E2FBF">
          <w:pPr>
            <w:pStyle w:val="ASDEFCONHeaderFooterClassification"/>
          </w:pPr>
          <w:fldSimple w:instr=" DOCPROPERTY Classification ">
            <w:r w:rsidR="005E1120">
              <w:t>OFFICIAL</w:t>
            </w:r>
          </w:fldSimple>
        </w:p>
      </w:tc>
    </w:tr>
  </w:tbl>
  <w:p w14:paraId="5408D107" w14:textId="77777777" w:rsidR="00FF7A51" w:rsidRPr="000F6197" w:rsidRDefault="00FF7A51" w:rsidP="008E2FBF">
    <w:pPr>
      <w:pStyle w:val="ASDEFCONNormal"/>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21686" w14:textId="775479A1" w:rsidR="008F567B" w:rsidRDefault="008F567B" w:rsidP="008E2FBF">
    <w:pPr>
      <w:pStyle w:val="ASDEFCONNormal"/>
      <w:tabs>
        <w:tab w:val="right" w:pos="14606"/>
      </w:tabs>
      <w:rPr>
        <w:rStyle w:val="PageNumber"/>
        <w:sz w:val="16"/>
      </w:rPr>
    </w:pPr>
    <w:r w:rsidRPr="000F6197">
      <w:rPr>
        <w:sz w:val="16"/>
      </w:rPr>
      <w:fldChar w:fldCharType="begin"/>
    </w:r>
    <w:r w:rsidRPr="000F6197">
      <w:rPr>
        <w:sz w:val="16"/>
      </w:rPr>
      <w:instrText xml:space="preserve"> SUBJECT   \* MERGEFORMAT </w:instrText>
    </w:r>
    <w:r w:rsidRPr="000F6197">
      <w:rPr>
        <w:sz w:val="16"/>
      </w:rPr>
      <w:fldChar w:fldCharType="separate"/>
    </w:r>
    <w:r w:rsidR="00C055A7">
      <w:rPr>
        <w:sz w:val="16"/>
      </w:rPr>
      <w:t>Attachment to Draft Conditions of Contract</w:t>
    </w:r>
    <w:r w:rsidRPr="000F6197">
      <w:rPr>
        <w:sz w:val="16"/>
      </w:rPr>
      <w:fldChar w:fldCharType="end"/>
    </w:r>
    <w:r w:rsidRPr="000F6197">
      <w:rPr>
        <w:sz w:val="16"/>
      </w:rPr>
      <w:t xml:space="preserve"> (</w:t>
    </w:r>
    <w:r w:rsidRPr="000F6197">
      <w:rPr>
        <w:sz w:val="16"/>
      </w:rPr>
      <w:fldChar w:fldCharType="begin"/>
    </w:r>
    <w:r w:rsidRPr="000F6197">
      <w:rPr>
        <w:sz w:val="16"/>
      </w:rPr>
      <w:instrText xml:space="preserve"> DOCPROPERTY Version </w:instrText>
    </w:r>
    <w:r w:rsidRPr="000F6197">
      <w:rPr>
        <w:sz w:val="16"/>
      </w:rPr>
      <w:fldChar w:fldCharType="separate"/>
    </w:r>
    <w:r w:rsidR="005E1120">
      <w:rPr>
        <w:sz w:val="16"/>
      </w:rPr>
      <w:t>V5.0</w:t>
    </w:r>
    <w:r w:rsidRPr="000F6197">
      <w:rPr>
        <w:sz w:val="16"/>
      </w:rPr>
      <w:fldChar w:fldCharType="end"/>
    </w:r>
    <w:r w:rsidRPr="000F6197">
      <w:rPr>
        <w:sz w:val="16"/>
      </w:rPr>
      <w:t>)</w:t>
    </w:r>
    <w:r w:rsidRPr="000F6197">
      <w:rPr>
        <w:sz w:val="16"/>
      </w:rPr>
      <w:tab/>
      <w:t>G-</w:t>
    </w:r>
    <w:r>
      <w:rPr>
        <w:sz w:val="16"/>
      </w:rPr>
      <w:t>B</w:t>
    </w:r>
    <w:r w:rsidRPr="000F6197">
      <w:rPr>
        <w:rStyle w:val="PageNumber"/>
        <w:sz w:val="16"/>
      </w:rPr>
      <w:fldChar w:fldCharType="begin"/>
    </w:r>
    <w:r w:rsidRPr="000F6197">
      <w:rPr>
        <w:rStyle w:val="PageNumber"/>
        <w:sz w:val="16"/>
      </w:rPr>
      <w:instrText xml:space="preserve"> PAGE </w:instrText>
    </w:r>
    <w:r w:rsidRPr="000F6197">
      <w:rPr>
        <w:rStyle w:val="PageNumber"/>
        <w:sz w:val="16"/>
      </w:rPr>
      <w:fldChar w:fldCharType="separate"/>
    </w:r>
    <w:r w:rsidR="000007BE">
      <w:rPr>
        <w:rStyle w:val="PageNumber"/>
        <w:noProof/>
        <w:sz w:val="16"/>
      </w:rPr>
      <w:t>2</w:t>
    </w:r>
    <w:r w:rsidRPr="000F6197">
      <w:rPr>
        <w:rStyle w:val="PageNumber"/>
        <w:sz w:val="16"/>
      </w:rPr>
      <w:fldChar w:fldCharType="end"/>
    </w:r>
  </w:p>
  <w:tbl>
    <w:tblPr>
      <w:tblW w:w="5000" w:type="pct"/>
      <w:tblLook w:val="0000" w:firstRow="0" w:lastRow="0" w:firstColumn="0" w:lastColumn="0" w:noHBand="0" w:noVBand="0"/>
    </w:tblPr>
    <w:tblGrid>
      <w:gridCol w:w="14629"/>
    </w:tblGrid>
    <w:tr w:rsidR="008F567B" w14:paraId="3614CA5E" w14:textId="77777777" w:rsidTr="006359D3">
      <w:tc>
        <w:tcPr>
          <w:tcW w:w="5000" w:type="pct"/>
        </w:tcPr>
        <w:p w14:paraId="3A966105" w14:textId="627B0C52" w:rsidR="008F567B" w:rsidRDefault="00AD1EB1" w:rsidP="008E2FBF">
          <w:pPr>
            <w:pStyle w:val="ASDEFCONHeaderFooterClassification"/>
          </w:pPr>
          <w:fldSimple w:instr=" DOCPROPERTY Classification ">
            <w:r w:rsidR="005E1120">
              <w:t>OFFICIAL</w:t>
            </w:r>
          </w:fldSimple>
        </w:p>
      </w:tc>
    </w:tr>
  </w:tbl>
  <w:p w14:paraId="56A451E9" w14:textId="77777777" w:rsidR="008F567B" w:rsidRPr="000F6197" w:rsidRDefault="008F567B" w:rsidP="008E2FBF">
    <w:pPr>
      <w:pStyle w:val="ASDEFCONNormal"/>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2AE54" w14:textId="5FCAD68D" w:rsidR="008A40B9" w:rsidRDefault="008A40B9" w:rsidP="008E2FBF">
    <w:pPr>
      <w:pStyle w:val="ASDEFCONNormal"/>
      <w:tabs>
        <w:tab w:val="right" w:pos="14606"/>
      </w:tabs>
      <w:rPr>
        <w:rStyle w:val="PageNumber"/>
        <w:sz w:val="16"/>
      </w:rPr>
    </w:pPr>
    <w:r w:rsidRPr="000F6197">
      <w:rPr>
        <w:sz w:val="16"/>
      </w:rPr>
      <w:fldChar w:fldCharType="begin"/>
    </w:r>
    <w:r w:rsidRPr="000F6197">
      <w:rPr>
        <w:sz w:val="16"/>
      </w:rPr>
      <w:instrText xml:space="preserve"> SUBJECT   \* MERGEFORMAT </w:instrText>
    </w:r>
    <w:r w:rsidRPr="000F6197">
      <w:rPr>
        <w:sz w:val="16"/>
      </w:rPr>
      <w:fldChar w:fldCharType="separate"/>
    </w:r>
    <w:r w:rsidR="00C055A7">
      <w:rPr>
        <w:sz w:val="16"/>
      </w:rPr>
      <w:t>Attachment to Draft Conditions of Contract</w:t>
    </w:r>
    <w:r w:rsidRPr="000F6197">
      <w:rPr>
        <w:sz w:val="16"/>
      </w:rPr>
      <w:fldChar w:fldCharType="end"/>
    </w:r>
    <w:r w:rsidRPr="000F6197">
      <w:rPr>
        <w:sz w:val="16"/>
      </w:rPr>
      <w:t xml:space="preserve"> (</w:t>
    </w:r>
    <w:r w:rsidRPr="000F6197">
      <w:rPr>
        <w:sz w:val="16"/>
      </w:rPr>
      <w:fldChar w:fldCharType="begin"/>
    </w:r>
    <w:r w:rsidRPr="000F6197">
      <w:rPr>
        <w:sz w:val="16"/>
      </w:rPr>
      <w:instrText xml:space="preserve"> DOCPROPERTY Version </w:instrText>
    </w:r>
    <w:r w:rsidRPr="000F6197">
      <w:rPr>
        <w:sz w:val="16"/>
      </w:rPr>
      <w:fldChar w:fldCharType="separate"/>
    </w:r>
    <w:r w:rsidR="005E1120">
      <w:rPr>
        <w:sz w:val="16"/>
      </w:rPr>
      <w:t>V5.0</w:t>
    </w:r>
    <w:r w:rsidRPr="000F6197">
      <w:rPr>
        <w:sz w:val="16"/>
      </w:rPr>
      <w:fldChar w:fldCharType="end"/>
    </w:r>
    <w:r w:rsidRPr="000F6197">
      <w:rPr>
        <w:sz w:val="16"/>
      </w:rPr>
      <w:t>)</w:t>
    </w:r>
    <w:r w:rsidRPr="000F6197">
      <w:rPr>
        <w:sz w:val="16"/>
      </w:rPr>
      <w:tab/>
      <w:t>G-</w:t>
    </w:r>
    <w:r>
      <w:rPr>
        <w:sz w:val="16"/>
      </w:rPr>
      <w:t>C</w:t>
    </w:r>
    <w:r w:rsidRPr="000F6197">
      <w:rPr>
        <w:rStyle w:val="PageNumber"/>
        <w:sz w:val="16"/>
      </w:rPr>
      <w:fldChar w:fldCharType="begin"/>
    </w:r>
    <w:r w:rsidRPr="000F6197">
      <w:rPr>
        <w:rStyle w:val="PageNumber"/>
        <w:sz w:val="16"/>
      </w:rPr>
      <w:instrText xml:space="preserve"> PAGE </w:instrText>
    </w:r>
    <w:r w:rsidRPr="000F6197">
      <w:rPr>
        <w:rStyle w:val="PageNumber"/>
        <w:sz w:val="16"/>
      </w:rPr>
      <w:fldChar w:fldCharType="separate"/>
    </w:r>
    <w:r w:rsidR="000007BE">
      <w:rPr>
        <w:rStyle w:val="PageNumber"/>
        <w:noProof/>
        <w:sz w:val="16"/>
      </w:rPr>
      <w:t>1</w:t>
    </w:r>
    <w:r w:rsidRPr="000F6197">
      <w:rPr>
        <w:rStyle w:val="PageNumber"/>
        <w:sz w:val="16"/>
      </w:rPr>
      <w:fldChar w:fldCharType="end"/>
    </w:r>
  </w:p>
  <w:tbl>
    <w:tblPr>
      <w:tblW w:w="5000" w:type="pct"/>
      <w:tblLook w:val="0000" w:firstRow="0" w:lastRow="0" w:firstColumn="0" w:lastColumn="0" w:noHBand="0" w:noVBand="0"/>
    </w:tblPr>
    <w:tblGrid>
      <w:gridCol w:w="14629"/>
    </w:tblGrid>
    <w:tr w:rsidR="008A40B9" w14:paraId="2CAB5AF0" w14:textId="77777777" w:rsidTr="006359D3">
      <w:tc>
        <w:tcPr>
          <w:tcW w:w="5000" w:type="pct"/>
        </w:tcPr>
        <w:p w14:paraId="510AF6D0" w14:textId="72B11B67" w:rsidR="008A40B9" w:rsidRDefault="00AD1EB1" w:rsidP="008E2FBF">
          <w:pPr>
            <w:pStyle w:val="ASDEFCONHeaderFooterClassification"/>
          </w:pPr>
          <w:fldSimple w:instr=" DOCPROPERTY Classification ">
            <w:r w:rsidR="005E1120">
              <w:t>OFFICIAL</w:t>
            </w:r>
          </w:fldSimple>
        </w:p>
      </w:tc>
    </w:tr>
  </w:tbl>
  <w:p w14:paraId="44CC66B4" w14:textId="77777777" w:rsidR="008A40B9" w:rsidRPr="000F6197" w:rsidRDefault="008A40B9" w:rsidP="008E2FBF">
    <w:pPr>
      <w:pStyle w:val="ASDEFCONNormal"/>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38265" w14:textId="450945A2" w:rsidR="00AE7E07" w:rsidRDefault="00AE7E07" w:rsidP="008E2FBF">
    <w:pPr>
      <w:pStyle w:val="ASDEFCONNormal"/>
      <w:tabs>
        <w:tab w:val="right" w:pos="14606"/>
      </w:tabs>
      <w:rPr>
        <w:rStyle w:val="PageNumber"/>
        <w:sz w:val="16"/>
      </w:rPr>
    </w:pPr>
    <w:r w:rsidRPr="000F6197">
      <w:rPr>
        <w:sz w:val="16"/>
      </w:rPr>
      <w:fldChar w:fldCharType="begin"/>
    </w:r>
    <w:r w:rsidRPr="000F6197">
      <w:rPr>
        <w:sz w:val="16"/>
      </w:rPr>
      <w:instrText xml:space="preserve"> SUBJECT   \* MERGEFORMAT </w:instrText>
    </w:r>
    <w:r w:rsidRPr="000F6197">
      <w:rPr>
        <w:sz w:val="16"/>
      </w:rPr>
      <w:fldChar w:fldCharType="separate"/>
    </w:r>
    <w:r w:rsidR="00C055A7">
      <w:rPr>
        <w:sz w:val="16"/>
      </w:rPr>
      <w:t>Attachment to Draft Conditions of Contract</w:t>
    </w:r>
    <w:r w:rsidRPr="000F6197">
      <w:rPr>
        <w:sz w:val="16"/>
      </w:rPr>
      <w:fldChar w:fldCharType="end"/>
    </w:r>
    <w:r w:rsidRPr="000F6197">
      <w:rPr>
        <w:sz w:val="16"/>
      </w:rPr>
      <w:t xml:space="preserve"> (</w:t>
    </w:r>
    <w:r w:rsidRPr="000F6197">
      <w:rPr>
        <w:sz w:val="16"/>
      </w:rPr>
      <w:fldChar w:fldCharType="begin"/>
    </w:r>
    <w:r w:rsidRPr="000F6197">
      <w:rPr>
        <w:sz w:val="16"/>
      </w:rPr>
      <w:instrText xml:space="preserve"> DOCPROPERTY Version </w:instrText>
    </w:r>
    <w:r w:rsidRPr="000F6197">
      <w:rPr>
        <w:sz w:val="16"/>
      </w:rPr>
      <w:fldChar w:fldCharType="separate"/>
    </w:r>
    <w:r w:rsidR="005E1120">
      <w:rPr>
        <w:sz w:val="16"/>
      </w:rPr>
      <w:t>V5.0</w:t>
    </w:r>
    <w:r w:rsidRPr="000F6197">
      <w:rPr>
        <w:sz w:val="16"/>
      </w:rPr>
      <w:fldChar w:fldCharType="end"/>
    </w:r>
    <w:r w:rsidRPr="000F6197">
      <w:rPr>
        <w:sz w:val="16"/>
      </w:rPr>
      <w:t>)</w:t>
    </w:r>
    <w:r w:rsidRPr="000F6197">
      <w:rPr>
        <w:sz w:val="16"/>
      </w:rPr>
      <w:tab/>
      <w:t>G-</w:t>
    </w:r>
    <w:r>
      <w:rPr>
        <w:sz w:val="16"/>
      </w:rPr>
      <w:t>D</w:t>
    </w:r>
    <w:r w:rsidRPr="000F6197">
      <w:rPr>
        <w:rStyle w:val="PageNumber"/>
        <w:sz w:val="16"/>
      </w:rPr>
      <w:fldChar w:fldCharType="begin"/>
    </w:r>
    <w:r w:rsidRPr="000F6197">
      <w:rPr>
        <w:rStyle w:val="PageNumber"/>
        <w:sz w:val="16"/>
      </w:rPr>
      <w:instrText xml:space="preserve"> PAGE </w:instrText>
    </w:r>
    <w:r w:rsidRPr="000F6197">
      <w:rPr>
        <w:rStyle w:val="PageNumber"/>
        <w:sz w:val="16"/>
      </w:rPr>
      <w:fldChar w:fldCharType="separate"/>
    </w:r>
    <w:r w:rsidR="000007BE">
      <w:rPr>
        <w:rStyle w:val="PageNumber"/>
        <w:noProof/>
        <w:sz w:val="16"/>
      </w:rPr>
      <w:t>1</w:t>
    </w:r>
    <w:r w:rsidRPr="000F6197">
      <w:rPr>
        <w:rStyle w:val="PageNumber"/>
        <w:sz w:val="16"/>
      </w:rPr>
      <w:fldChar w:fldCharType="end"/>
    </w:r>
  </w:p>
  <w:tbl>
    <w:tblPr>
      <w:tblW w:w="5000" w:type="pct"/>
      <w:tblLook w:val="0000" w:firstRow="0" w:lastRow="0" w:firstColumn="0" w:lastColumn="0" w:noHBand="0" w:noVBand="0"/>
    </w:tblPr>
    <w:tblGrid>
      <w:gridCol w:w="14629"/>
    </w:tblGrid>
    <w:tr w:rsidR="00AE7E07" w14:paraId="6783D2AD" w14:textId="77777777" w:rsidTr="006359D3">
      <w:tc>
        <w:tcPr>
          <w:tcW w:w="5000" w:type="pct"/>
        </w:tcPr>
        <w:p w14:paraId="609FA4D8" w14:textId="5A67A39B" w:rsidR="00AE7E07" w:rsidRDefault="00AD1EB1" w:rsidP="008E2FBF">
          <w:pPr>
            <w:pStyle w:val="ASDEFCONHeaderFooterClassification"/>
          </w:pPr>
          <w:fldSimple w:instr=" DOCPROPERTY Classification ">
            <w:r w:rsidR="005E1120">
              <w:t>OFFICIAL</w:t>
            </w:r>
          </w:fldSimple>
        </w:p>
      </w:tc>
    </w:tr>
  </w:tbl>
  <w:p w14:paraId="47361961" w14:textId="77777777" w:rsidR="00AE7E07" w:rsidRPr="000F6197" w:rsidRDefault="00AE7E07" w:rsidP="008E2FBF">
    <w:pPr>
      <w:pStyle w:val="ASDEFCONNormal"/>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043AB" w14:textId="5A71013F" w:rsidR="00AB67E5" w:rsidRDefault="00AB67E5" w:rsidP="008E2FBF">
    <w:pPr>
      <w:pStyle w:val="ASDEFCONNormal"/>
      <w:tabs>
        <w:tab w:val="right" w:pos="14606"/>
      </w:tabs>
      <w:rPr>
        <w:rStyle w:val="PageNumber"/>
        <w:sz w:val="16"/>
      </w:rPr>
    </w:pPr>
    <w:r w:rsidRPr="000F6197">
      <w:rPr>
        <w:sz w:val="16"/>
      </w:rPr>
      <w:fldChar w:fldCharType="begin"/>
    </w:r>
    <w:r w:rsidRPr="000F6197">
      <w:rPr>
        <w:sz w:val="16"/>
      </w:rPr>
      <w:instrText xml:space="preserve"> SUBJECT   \* MERGEFORMAT </w:instrText>
    </w:r>
    <w:r w:rsidRPr="000F6197">
      <w:rPr>
        <w:sz w:val="16"/>
      </w:rPr>
      <w:fldChar w:fldCharType="separate"/>
    </w:r>
    <w:r w:rsidR="00C055A7">
      <w:rPr>
        <w:sz w:val="16"/>
      </w:rPr>
      <w:t>Attachment to Draft Conditions of Contract</w:t>
    </w:r>
    <w:r w:rsidRPr="000F6197">
      <w:rPr>
        <w:sz w:val="16"/>
      </w:rPr>
      <w:fldChar w:fldCharType="end"/>
    </w:r>
    <w:r w:rsidRPr="000F6197">
      <w:rPr>
        <w:sz w:val="16"/>
      </w:rPr>
      <w:t xml:space="preserve"> (</w:t>
    </w:r>
    <w:r w:rsidRPr="000F6197">
      <w:rPr>
        <w:sz w:val="16"/>
      </w:rPr>
      <w:fldChar w:fldCharType="begin"/>
    </w:r>
    <w:r w:rsidRPr="000F6197">
      <w:rPr>
        <w:sz w:val="16"/>
      </w:rPr>
      <w:instrText xml:space="preserve"> DOCPROPERTY Version </w:instrText>
    </w:r>
    <w:r w:rsidRPr="000F6197">
      <w:rPr>
        <w:sz w:val="16"/>
      </w:rPr>
      <w:fldChar w:fldCharType="separate"/>
    </w:r>
    <w:r w:rsidR="005E1120">
      <w:rPr>
        <w:sz w:val="16"/>
      </w:rPr>
      <w:t>V5.0</w:t>
    </w:r>
    <w:r w:rsidRPr="000F6197">
      <w:rPr>
        <w:sz w:val="16"/>
      </w:rPr>
      <w:fldChar w:fldCharType="end"/>
    </w:r>
    <w:r w:rsidRPr="000F6197">
      <w:rPr>
        <w:sz w:val="16"/>
      </w:rPr>
      <w:t>)</w:t>
    </w:r>
    <w:r w:rsidRPr="000F6197">
      <w:rPr>
        <w:sz w:val="16"/>
      </w:rPr>
      <w:tab/>
      <w:t>G-</w:t>
    </w:r>
    <w:r>
      <w:rPr>
        <w:sz w:val="16"/>
      </w:rPr>
      <w:t>E</w:t>
    </w:r>
    <w:r w:rsidRPr="000F6197">
      <w:rPr>
        <w:rStyle w:val="PageNumber"/>
        <w:sz w:val="16"/>
      </w:rPr>
      <w:fldChar w:fldCharType="begin"/>
    </w:r>
    <w:r w:rsidRPr="000F6197">
      <w:rPr>
        <w:rStyle w:val="PageNumber"/>
        <w:sz w:val="16"/>
      </w:rPr>
      <w:instrText xml:space="preserve"> PAGE </w:instrText>
    </w:r>
    <w:r w:rsidRPr="000F6197">
      <w:rPr>
        <w:rStyle w:val="PageNumber"/>
        <w:sz w:val="16"/>
      </w:rPr>
      <w:fldChar w:fldCharType="separate"/>
    </w:r>
    <w:r w:rsidR="000007BE">
      <w:rPr>
        <w:rStyle w:val="PageNumber"/>
        <w:noProof/>
        <w:sz w:val="16"/>
      </w:rPr>
      <w:t>1</w:t>
    </w:r>
    <w:r w:rsidRPr="000F6197">
      <w:rPr>
        <w:rStyle w:val="PageNumber"/>
        <w:sz w:val="16"/>
      </w:rPr>
      <w:fldChar w:fldCharType="end"/>
    </w:r>
  </w:p>
  <w:tbl>
    <w:tblPr>
      <w:tblW w:w="5000" w:type="pct"/>
      <w:tblLook w:val="0000" w:firstRow="0" w:lastRow="0" w:firstColumn="0" w:lastColumn="0" w:noHBand="0" w:noVBand="0"/>
    </w:tblPr>
    <w:tblGrid>
      <w:gridCol w:w="14629"/>
    </w:tblGrid>
    <w:tr w:rsidR="00AB67E5" w14:paraId="107FDDE6" w14:textId="77777777" w:rsidTr="006359D3">
      <w:tc>
        <w:tcPr>
          <w:tcW w:w="5000" w:type="pct"/>
        </w:tcPr>
        <w:p w14:paraId="44A5321A" w14:textId="3EFFA223" w:rsidR="00AB67E5" w:rsidRDefault="00AD1EB1" w:rsidP="008E2FBF">
          <w:pPr>
            <w:pStyle w:val="ASDEFCONHeaderFooterClassification"/>
          </w:pPr>
          <w:fldSimple w:instr=" DOCPROPERTY Classification ">
            <w:r w:rsidR="005E1120">
              <w:t>OFFICIAL</w:t>
            </w:r>
          </w:fldSimple>
        </w:p>
      </w:tc>
    </w:tr>
  </w:tbl>
  <w:p w14:paraId="14707ADA" w14:textId="77777777" w:rsidR="00AB67E5" w:rsidRPr="000F6197" w:rsidRDefault="00AB67E5" w:rsidP="008E2FBF">
    <w:pPr>
      <w:pStyle w:val="ASDEFCONNormal"/>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0D21B" w14:textId="7454D278" w:rsidR="00D174D8" w:rsidRDefault="00D174D8" w:rsidP="008E2FBF">
    <w:pPr>
      <w:pStyle w:val="ASDEFCONNormal"/>
      <w:tabs>
        <w:tab w:val="right" w:pos="14606"/>
      </w:tabs>
      <w:rPr>
        <w:rStyle w:val="PageNumber"/>
        <w:sz w:val="16"/>
      </w:rPr>
    </w:pPr>
    <w:r w:rsidRPr="000F6197">
      <w:rPr>
        <w:sz w:val="16"/>
      </w:rPr>
      <w:fldChar w:fldCharType="begin"/>
    </w:r>
    <w:r w:rsidRPr="000F6197">
      <w:rPr>
        <w:sz w:val="16"/>
      </w:rPr>
      <w:instrText xml:space="preserve"> SUBJECT   \* MERGEFORMAT </w:instrText>
    </w:r>
    <w:r w:rsidRPr="000F6197">
      <w:rPr>
        <w:sz w:val="16"/>
      </w:rPr>
      <w:fldChar w:fldCharType="separate"/>
    </w:r>
    <w:r w:rsidR="00C055A7">
      <w:rPr>
        <w:sz w:val="16"/>
      </w:rPr>
      <w:t>Attachment to Draft Conditions of Contract</w:t>
    </w:r>
    <w:r w:rsidRPr="000F6197">
      <w:rPr>
        <w:sz w:val="16"/>
      </w:rPr>
      <w:fldChar w:fldCharType="end"/>
    </w:r>
    <w:r w:rsidRPr="000F6197">
      <w:rPr>
        <w:sz w:val="16"/>
      </w:rPr>
      <w:t xml:space="preserve"> (</w:t>
    </w:r>
    <w:r w:rsidRPr="000F6197">
      <w:rPr>
        <w:sz w:val="16"/>
      </w:rPr>
      <w:fldChar w:fldCharType="begin"/>
    </w:r>
    <w:r w:rsidRPr="000F6197">
      <w:rPr>
        <w:sz w:val="16"/>
      </w:rPr>
      <w:instrText xml:space="preserve"> DOCPROPERTY Version </w:instrText>
    </w:r>
    <w:r w:rsidRPr="000F6197">
      <w:rPr>
        <w:sz w:val="16"/>
      </w:rPr>
      <w:fldChar w:fldCharType="separate"/>
    </w:r>
    <w:r w:rsidR="005E1120">
      <w:rPr>
        <w:sz w:val="16"/>
      </w:rPr>
      <w:t>V5.0</w:t>
    </w:r>
    <w:r w:rsidRPr="000F6197">
      <w:rPr>
        <w:sz w:val="16"/>
      </w:rPr>
      <w:fldChar w:fldCharType="end"/>
    </w:r>
    <w:r w:rsidRPr="000F6197">
      <w:rPr>
        <w:sz w:val="16"/>
      </w:rPr>
      <w:t>)</w:t>
    </w:r>
    <w:r w:rsidRPr="000F6197">
      <w:rPr>
        <w:sz w:val="16"/>
      </w:rPr>
      <w:tab/>
      <w:t>G-</w:t>
    </w:r>
    <w:r>
      <w:rPr>
        <w:sz w:val="16"/>
      </w:rPr>
      <w:t>F</w:t>
    </w:r>
    <w:r w:rsidRPr="000F6197">
      <w:rPr>
        <w:rStyle w:val="PageNumber"/>
        <w:sz w:val="16"/>
      </w:rPr>
      <w:fldChar w:fldCharType="begin"/>
    </w:r>
    <w:r w:rsidRPr="000F6197">
      <w:rPr>
        <w:rStyle w:val="PageNumber"/>
        <w:sz w:val="16"/>
      </w:rPr>
      <w:instrText xml:space="preserve"> PAGE </w:instrText>
    </w:r>
    <w:r w:rsidRPr="000F6197">
      <w:rPr>
        <w:rStyle w:val="PageNumber"/>
        <w:sz w:val="16"/>
      </w:rPr>
      <w:fldChar w:fldCharType="separate"/>
    </w:r>
    <w:r w:rsidR="000007BE">
      <w:rPr>
        <w:rStyle w:val="PageNumber"/>
        <w:noProof/>
        <w:sz w:val="16"/>
      </w:rPr>
      <w:t>1</w:t>
    </w:r>
    <w:r w:rsidRPr="000F6197">
      <w:rPr>
        <w:rStyle w:val="PageNumber"/>
        <w:sz w:val="16"/>
      </w:rPr>
      <w:fldChar w:fldCharType="end"/>
    </w:r>
  </w:p>
  <w:tbl>
    <w:tblPr>
      <w:tblW w:w="5000" w:type="pct"/>
      <w:tblLook w:val="0000" w:firstRow="0" w:lastRow="0" w:firstColumn="0" w:lastColumn="0" w:noHBand="0" w:noVBand="0"/>
    </w:tblPr>
    <w:tblGrid>
      <w:gridCol w:w="14629"/>
    </w:tblGrid>
    <w:tr w:rsidR="00D174D8" w14:paraId="38717829" w14:textId="77777777" w:rsidTr="006359D3">
      <w:tc>
        <w:tcPr>
          <w:tcW w:w="5000" w:type="pct"/>
        </w:tcPr>
        <w:p w14:paraId="3FEB142A" w14:textId="24CDFEC6" w:rsidR="00D174D8" w:rsidRDefault="00AD1EB1" w:rsidP="008E2FBF">
          <w:pPr>
            <w:pStyle w:val="ASDEFCONHeaderFooterClassification"/>
          </w:pPr>
          <w:fldSimple w:instr=" DOCPROPERTY Classification ">
            <w:r w:rsidR="005E1120">
              <w:t>OFFICIAL</w:t>
            </w:r>
          </w:fldSimple>
        </w:p>
      </w:tc>
    </w:tr>
  </w:tbl>
  <w:p w14:paraId="741B7BC2" w14:textId="77777777" w:rsidR="00D174D8" w:rsidRPr="000F6197" w:rsidRDefault="00D174D8" w:rsidP="008E2FBF">
    <w:pPr>
      <w:pStyle w:val="ASDEFCONNorma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992544" w14:textId="77777777" w:rsidR="00483EEC" w:rsidRDefault="00483EEC">
      <w:r>
        <w:separator/>
      </w:r>
    </w:p>
  </w:footnote>
  <w:footnote w:type="continuationSeparator" w:id="0">
    <w:p w14:paraId="4554B7A0" w14:textId="77777777" w:rsidR="00483EEC" w:rsidRDefault="00483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14629"/>
    </w:tblGrid>
    <w:tr w:rsidR="00CE1BA6" w14:paraId="5899675C" w14:textId="77777777" w:rsidTr="00CE1BA6">
      <w:tc>
        <w:tcPr>
          <w:tcW w:w="5000" w:type="pct"/>
        </w:tcPr>
        <w:p w14:paraId="3F91D4B1" w14:textId="4BD7AC60" w:rsidR="00CE1BA6" w:rsidRDefault="005E1120" w:rsidP="008E2FBF">
          <w:pPr>
            <w:pStyle w:val="ASDEFCONHeaderFooterClassification"/>
          </w:pPr>
          <w:fldSimple w:instr=" DOCPROPERTY Classification ">
            <w:r>
              <w:t>OFFICIAL</w:t>
            </w:r>
          </w:fldSimple>
        </w:p>
      </w:tc>
    </w:tr>
  </w:tbl>
  <w:p w14:paraId="405DB8F5" w14:textId="0380D7B4" w:rsidR="00CB017D" w:rsidRPr="000F6197" w:rsidRDefault="00B478D8" w:rsidP="008E2FBF">
    <w:pPr>
      <w:pStyle w:val="ASDEFCONNormal"/>
      <w:tabs>
        <w:tab w:val="right" w:pos="14606"/>
      </w:tabs>
    </w:pPr>
    <w:r w:rsidRPr="000F6197">
      <w:rPr>
        <w:sz w:val="16"/>
        <w:szCs w:val="16"/>
      </w:rPr>
      <w:fldChar w:fldCharType="begin"/>
    </w:r>
    <w:r w:rsidRPr="000F6197">
      <w:rPr>
        <w:sz w:val="16"/>
        <w:szCs w:val="16"/>
      </w:rPr>
      <w:instrText xml:space="preserve"> DOCPROPERTY  Title  \* MERGEFORMAT </w:instrText>
    </w:r>
    <w:r w:rsidRPr="000F6197">
      <w:rPr>
        <w:sz w:val="16"/>
        <w:szCs w:val="16"/>
      </w:rPr>
      <w:fldChar w:fldCharType="separate"/>
    </w:r>
    <w:r w:rsidR="00C055A7">
      <w:rPr>
        <w:sz w:val="16"/>
        <w:szCs w:val="16"/>
      </w:rPr>
      <w:t>ASDEFCON (Support)</w:t>
    </w:r>
    <w:r w:rsidRPr="000F6197">
      <w:rPr>
        <w:sz w:val="16"/>
        <w:szCs w:val="16"/>
      </w:rPr>
      <w:fldChar w:fldCharType="end"/>
    </w:r>
    <w:r w:rsidR="00CB017D" w:rsidRPr="000F6197">
      <w:rPr>
        <w:sz w:val="16"/>
        <w:szCs w:val="16"/>
      </w:rPr>
      <w:tab/>
    </w:r>
    <w:r w:rsidRPr="000F6197">
      <w:rPr>
        <w:sz w:val="16"/>
        <w:szCs w:val="16"/>
      </w:rPr>
      <w:fldChar w:fldCharType="begin"/>
    </w:r>
    <w:r w:rsidRPr="000F6197">
      <w:rPr>
        <w:sz w:val="16"/>
        <w:szCs w:val="16"/>
      </w:rPr>
      <w:instrText xml:space="preserve"> DOCPROPERTY  Category  \* MERGEFORMAT </w:instrText>
    </w:r>
    <w:r w:rsidRPr="000F6197">
      <w:rPr>
        <w:sz w:val="16"/>
        <w:szCs w:val="16"/>
      </w:rPr>
      <w:fldChar w:fldCharType="separate"/>
    </w:r>
    <w:r w:rsidR="00C055A7">
      <w:rPr>
        <w:sz w:val="16"/>
        <w:szCs w:val="16"/>
      </w:rPr>
      <w:t>PART 2</w:t>
    </w:r>
    <w:r w:rsidRPr="000F6197">
      <w:rPr>
        <w:sz w:val="16"/>
        <w:szCs w:val="16"/>
      </w:rPr>
      <w:fldChar w:fldCharType="end"/>
    </w:r>
  </w:p>
  <w:p w14:paraId="668D574F" w14:textId="77777777" w:rsidR="00CB017D" w:rsidRPr="0089529F" w:rsidRDefault="00CB017D" w:rsidP="000F6197">
    <w:pPr>
      <w:pStyle w:val="ASDEFCONHeaderFooterClassification"/>
    </w:pPr>
    <w:r>
      <w:t>ATTACHMENT 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7"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9"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2"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5"/>
  </w:num>
  <w:num w:numId="3">
    <w:abstractNumId w:val="21"/>
  </w:num>
  <w:num w:numId="4">
    <w:abstractNumId w:val="26"/>
  </w:num>
  <w:num w:numId="5">
    <w:abstractNumId w:val="31"/>
  </w:num>
  <w:num w:numId="6">
    <w:abstractNumId w:val="9"/>
  </w:num>
  <w:num w:numId="7">
    <w:abstractNumId w:val="10"/>
  </w:num>
  <w:num w:numId="8">
    <w:abstractNumId w:val="28"/>
  </w:num>
  <w:num w:numId="9">
    <w:abstractNumId w:val="17"/>
  </w:num>
  <w:num w:numId="10">
    <w:abstractNumId w:val="22"/>
  </w:num>
  <w:num w:numId="11">
    <w:abstractNumId w:val="32"/>
  </w:num>
  <w:num w:numId="12">
    <w:abstractNumId w:val="11"/>
  </w:num>
  <w:num w:numId="13">
    <w:abstractNumId w:val="14"/>
  </w:num>
  <w:num w:numId="14">
    <w:abstractNumId w:val="34"/>
  </w:num>
  <w:num w:numId="15">
    <w:abstractNumId w:val="8"/>
  </w:num>
  <w:num w:numId="16">
    <w:abstractNumId w:val="6"/>
  </w:num>
  <w:num w:numId="17">
    <w:abstractNumId w:val="1"/>
  </w:num>
  <w:num w:numId="18">
    <w:abstractNumId w:val="3"/>
  </w:num>
  <w:num w:numId="19">
    <w:abstractNumId w:val="13"/>
  </w:num>
  <w:num w:numId="20">
    <w:abstractNumId w:val="0"/>
  </w:num>
  <w:num w:numId="21">
    <w:abstractNumId w:val="18"/>
  </w:num>
  <w:num w:numId="22">
    <w:abstractNumId w:val="30"/>
  </w:num>
  <w:num w:numId="23">
    <w:abstractNumId w:val="27"/>
  </w:num>
  <w:num w:numId="24">
    <w:abstractNumId w:val="15"/>
  </w:num>
  <w:num w:numId="25">
    <w:abstractNumId w:val="31"/>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4"/>
  </w:num>
  <w:num w:numId="30">
    <w:abstractNumId w:val="33"/>
  </w:num>
  <w:num w:numId="31">
    <w:abstractNumId w:val="12"/>
  </w:num>
  <w:num w:numId="32">
    <w:abstractNumId w:val="20"/>
  </w:num>
  <w:num w:numId="33">
    <w:abstractNumId w:val="7"/>
  </w:num>
  <w:num w:numId="34">
    <w:abstractNumId w:val="2"/>
  </w:num>
  <w:num w:numId="35">
    <w:abstractNumId w:val="24"/>
  </w:num>
  <w:num w:numId="36">
    <w:abstractNumId w:val="25"/>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31"/>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5"/>
  <w:doNotHyphenateCaps/>
  <w:displayHorizontalDrawingGridEvery w:val="0"/>
  <w:displayVerticalDrawingGridEvery w:val="0"/>
  <w:doNotUseMarginsForDrawingGridOrigin/>
  <w:doNotShadeFormData/>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82"/>
    <w:rsid w:val="000007BE"/>
    <w:rsid w:val="00015A4B"/>
    <w:rsid w:val="00041F20"/>
    <w:rsid w:val="00043E8D"/>
    <w:rsid w:val="00063738"/>
    <w:rsid w:val="0006658E"/>
    <w:rsid w:val="000B636C"/>
    <w:rsid w:val="000C0CF5"/>
    <w:rsid w:val="000D5EAA"/>
    <w:rsid w:val="000F6197"/>
    <w:rsid w:val="00144CE2"/>
    <w:rsid w:val="0016106B"/>
    <w:rsid w:val="0016657A"/>
    <w:rsid w:val="001D0D84"/>
    <w:rsid w:val="001E3FC5"/>
    <w:rsid w:val="001F2D84"/>
    <w:rsid w:val="00203E83"/>
    <w:rsid w:val="00255FEF"/>
    <w:rsid w:val="0028147D"/>
    <w:rsid w:val="002C21F9"/>
    <w:rsid w:val="002C6187"/>
    <w:rsid w:val="002E67DA"/>
    <w:rsid w:val="00380137"/>
    <w:rsid w:val="0040797A"/>
    <w:rsid w:val="004652E5"/>
    <w:rsid w:val="00483EEC"/>
    <w:rsid w:val="004B5CFC"/>
    <w:rsid w:val="004C2B47"/>
    <w:rsid w:val="004D20BF"/>
    <w:rsid w:val="004F43EC"/>
    <w:rsid w:val="0050661A"/>
    <w:rsid w:val="005265E2"/>
    <w:rsid w:val="00552383"/>
    <w:rsid w:val="00580F58"/>
    <w:rsid w:val="005853A2"/>
    <w:rsid w:val="005B748D"/>
    <w:rsid w:val="005B7CD3"/>
    <w:rsid w:val="005E0BA2"/>
    <w:rsid w:val="005E1120"/>
    <w:rsid w:val="00602665"/>
    <w:rsid w:val="00621FEF"/>
    <w:rsid w:val="0062201D"/>
    <w:rsid w:val="00636700"/>
    <w:rsid w:val="00690974"/>
    <w:rsid w:val="0071470B"/>
    <w:rsid w:val="00727FD2"/>
    <w:rsid w:val="00763A4F"/>
    <w:rsid w:val="00763C2C"/>
    <w:rsid w:val="00764972"/>
    <w:rsid w:val="007D6B3E"/>
    <w:rsid w:val="0089529F"/>
    <w:rsid w:val="008A40B9"/>
    <w:rsid w:val="008B70A7"/>
    <w:rsid w:val="008E2FBF"/>
    <w:rsid w:val="008F567B"/>
    <w:rsid w:val="00941E9F"/>
    <w:rsid w:val="009704B7"/>
    <w:rsid w:val="009F5BAD"/>
    <w:rsid w:val="00A00FCA"/>
    <w:rsid w:val="00A079B1"/>
    <w:rsid w:val="00A7028B"/>
    <w:rsid w:val="00A73750"/>
    <w:rsid w:val="00A76109"/>
    <w:rsid w:val="00A761DC"/>
    <w:rsid w:val="00AA0561"/>
    <w:rsid w:val="00AB67E5"/>
    <w:rsid w:val="00AD1EB1"/>
    <w:rsid w:val="00AE7E07"/>
    <w:rsid w:val="00B02C98"/>
    <w:rsid w:val="00B478D8"/>
    <w:rsid w:val="00B94CB1"/>
    <w:rsid w:val="00C055A7"/>
    <w:rsid w:val="00C17116"/>
    <w:rsid w:val="00C63F35"/>
    <w:rsid w:val="00CA1B99"/>
    <w:rsid w:val="00CA7893"/>
    <w:rsid w:val="00CB017D"/>
    <w:rsid w:val="00CB28E0"/>
    <w:rsid w:val="00CB7D56"/>
    <w:rsid w:val="00CE1BA6"/>
    <w:rsid w:val="00CE3611"/>
    <w:rsid w:val="00CF2836"/>
    <w:rsid w:val="00D174D8"/>
    <w:rsid w:val="00D51D96"/>
    <w:rsid w:val="00D76358"/>
    <w:rsid w:val="00DB729F"/>
    <w:rsid w:val="00DC5182"/>
    <w:rsid w:val="00E46638"/>
    <w:rsid w:val="00E50A9F"/>
    <w:rsid w:val="00EB3220"/>
    <w:rsid w:val="00EB454A"/>
    <w:rsid w:val="00EC7BD0"/>
    <w:rsid w:val="00F203AA"/>
    <w:rsid w:val="00F2373F"/>
    <w:rsid w:val="00F362BA"/>
    <w:rsid w:val="00F81718"/>
    <w:rsid w:val="00F82888"/>
    <w:rsid w:val="00F873E4"/>
    <w:rsid w:val="00F90F8D"/>
    <w:rsid w:val="00F920BC"/>
    <w:rsid w:val="00FB21B3"/>
    <w:rsid w:val="00FC34E2"/>
    <w:rsid w:val="00FD4D7A"/>
    <w:rsid w:val="00FE14EA"/>
    <w:rsid w:val="00FF3D21"/>
    <w:rsid w:val="00FF7A5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8582548"/>
  <w15:docId w15:val="{FEECF012-AF0F-442F-93A7-5C518D9B6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07BE"/>
    <w:pPr>
      <w:spacing w:after="120"/>
      <w:jc w:val="both"/>
    </w:pPr>
    <w:rPr>
      <w:rFonts w:ascii="Arial" w:hAnsi="Arial"/>
      <w:szCs w:val="24"/>
    </w:rPr>
  </w:style>
  <w:style w:type="paragraph" w:styleId="Heading1">
    <w:name w:val="heading 1"/>
    <w:basedOn w:val="Normal"/>
    <w:next w:val="Normal"/>
    <w:qFormat/>
    <w:rsid w:val="000007BE"/>
    <w:pPr>
      <w:keepNext/>
      <w:numPr>
        <w:numId w:val="10"/>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0007BE"/>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uiPriority w:val="9"/>
    <w:qFormat/>
    <w:rsid w:val="00B02C98"/>
    <w:pPr>
      <w:keepNext/>
      <w:keepLines/>
      <w:numPr>
        <w:ilvl w:val="2"/>
        <w:numId w:val="3"/>
      </w:numPr>
      <w:spacing w:before="200" w:after="0"/>
      <w:outlineLvl w:val="2"/>
    </w:pPr>
    <w:rPr>
      <w:rFonts w:ascii="Times New Roman" w:hAnsi="Times New Roman"/>
      <w:b/>
      <w:bCs/>
    </w:rPr>
  </w:style>
  <w:style w:type="paragraph" w:styleId="Heading4">
    <w:name w:val="heading 4"/>
    <w:aliases w:val="Para4"/>
    <w:basedOn w:val="Normal"/>
    <w:next w:val="Normal"/>
    <w:uiPriority w:val="9"/>
    <w:qFormat/>
    <w:rsid w:val="00B02C98"/>
    <w:pPr>
      <w:keepNext/>
      <w:keepLines/>
      <w:numPr>
        <w:ilvl w:val="3"/>
        <w:numId w:val="3"/>
      </w:numPr>
      <w:spacing w:before="200" w:after="0"/>
      <w:outlineLvl w:val="3"/>
    </w:pPr>
    <w:rPr>
      <w:rFonts w:ascii="Times New Roman" w:hAnsi="Times New Roman"/>
      <w:b/>
      <w:bCs/>
      <w:iCs/>
    </w:rPr>
  </w:style>
  <w:style w:type="paragraph" w:styleId="Heading5">
    <w:name w:val="heading 5"/>
    <w:aliases w:val="Para5"/>
    <w:basedOn w:val="Normal"/>
    <w:next w:val="Normal"/>
    <w:qFormat/>
    <w:rsid w:val="00B02C98"/>
    <w:pPr>
      <w:numPr>
        <w:ilvl w:val="4"/>
        <w:numId w:val="3"/>
      </w:numPr>
      <w:spacing w:before="240" w:after="60"/>
      <w:outlineLvl w:val="4"/>
    </w:pPr>
    <w:rPr>
      <w:b/>
      <w:bCs/>
      <w:iCs/>
      <w:szCs w:val="26"/>
    </w:rPr>
  </w:style>
  <w:style w:type="paragraph" w:styleId="Heading6">
    <w:name w:val="heading 6"/>
    <w:basedOn w:val="Normal"/>
    <w:next w:val="Normal"/>
    <w:qFormat/>
    <w:rsid w:val="00B02C98"/>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B02C98"/>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B02C98"/>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B02C98"/>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0007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007BE"/>
  </w:style>
  <w:style w:type="character" w:styleId="PageNumber">
    <w:name w:val="page number"/>
    <w:basedOn w:val="DefaultParagraphFont"/>
  </w:style>
  <w:style w:type="paragraph" w:styleId="Footer">
    <w:name w:val="footer"/>
    <w:basedOn w:val="Normal"/>
    <w:pPr>
      <w:tabs>
        <w:tab w:val="right" w:pos="9090"/>
      </w:tabs>
      <w:spacing w:after="0"/>
    </w:pPr>
    <w:rPr>
      <w:sz w:val="16"/>
      <w:lang w:val="en-US"/>
    </w:rPr>
  </w:style>
  <w:style w:type="paragraph" w:styleId="Header">
    <w:name w:val="header"/>
    <w:basedOn w:val="Normal"/>
    <w:pPr>
      <w:tabs>
        <w:tab w:val="right" w:pos="9090"/>
      </w:tabs>
      <w:spacing w:after="0"/>
      <w:ind w:left="864" w:hanging="864"/>
    </w:pPr>
    <w:rPr>
      <w:sz w:val="16"/>
      <w:lang w:val="en-US"/>
    </w:rPr>
  </w:style>
  <w:style w:type="paragraph" w:styleId="TOC1">
    <w:name w:val="toc 1"/>
    <w:next w:val="ASDEFCONNormal"/>
    <w:autoRedefine/>
    <w:uiPriority w:val="39"/>
    <w:rsid w:val="000007BE"/>
    <w:pPr>
      <w:tabs>
        <w:tab w:val="right" w:leader="dot" w:pos="9016"/>
      </w:tabs>
      <w:spacing w:before="120" w:after="60"/>
      <w:ind w:hanging="567"/>
      <w:jc w:val="both"/>
    </w:pPr>
    <w:rPr>
      <w:rFonts w:ascii="Arial" w:hAnsi="Arial" w:cs="Arial"/>
      <w:b/>
      <w:noProof/>
      <w:szCs w:val="24"/>
    </w:rPr>
  </w:style>
  <w:style w:type="paragraph" w:styleId="TOC2">
    <w:name w:val="toc 2"/>
    <w:next w:val="ASDEFCONNormal"/>
    <w:autoRedefine/>
    <w:uiPriority w:val="39"/>
    <w:rsid w:val="000007BE"/>
    <w:pPr>
      <w:spacing w:after="60"/>
      <w:ind w:left="567" w:hanging="850"/>
      <w:jc w:val="both"/>
    </w:pPr>
    <w:rPr>
      <w:rFonts w:ascii="Arial" w:hAnsi="Arial" w:cs="Arial"/>
      <w:szCs w:val="24"/>
    </w:rPr>
  </w:style>
  <w:style w:type="paragraph" w:styleId="TOC3">
    <w:name w:val="toc 3"/>
    <w:basedOn w:val="Normal"/>
    <w:next w:val="Normal"/>
    <w:autoRedefine/>
    <w:rsid w:val="000007BE"/>
    <w:pPr>
      <w:spacing w:after="60"/>
      <w:ind w:left="567"/>
    </w:pPr>
    <w:rPr>
      <w:rFonts w:cs="Arial"/>
    </w:rPr>
  </w:style>
  <w:style w:type="paragraph" w:styleId="TOC4">
    <w:name w:val="toc 4"/>
    <w:basedOn w:val="Normal"/>
    <w:next w:val="Normal"/>
    <w:autoRedefine/>
    <w:rsid w:val="000007BE"/>
    <w:pPr>
      <w:spacing w:after="100"/>
      <w:ind w:left="600"/>
    </w:pPr>
  </w:style>
  <w:style w:type="paragraph" w:styleId="TOC5">
    <w:name w:val="toc 5"/>
    <w:basedOn w:val="Normal"/>
    <w:next w:val="Normal"/>
    <w:autoRedefine/>
    <w:rsid w:val="000007BE"/>
    <w:pPr>
      <w:spacing w:after="100"/>
      <w:ind w:left="800"/>
    </w:pPr>
  </w:style>
  <w:style w:type="paragraph" w:styleId="TOC6">
    <w:name w:val="toc 6"/>
    <w:basedOn w:val="Normal"/>
    <w:next w:val="Normal"/>
    <w:autoRedefine/>
    <w:rsid w:val="000007BE"/>
    <w:pPr>
      <w:spacing w:after="100"/>
      <w:ind w:left="1000"/>
    </w:pPr>
  </w:style>
  <w:style w:type="paragraph" w:styleId="TOC7">
    <w:name w:val="toc 7"/>
    <w:basedOn w:val="Normal"/>
    <w:next w:val="Normal"/>
    <w:autoRedefine/>
    <w:rsid w:val="000007BE"/>
    <w:pPr>
      <w:spacing w:after="100"/>
      <w:ind w:left="1200"/>
    </w:pPr>
  </w:style>
  <w:style w:type="paragraph" w:styleId="TOC8">
    <w:name w:val="toc 8"/>
    <w:basedOn w:val="Normal"/>
    <w:next w:val="Normal"/>
    <w:autoRedefine/>
    <w:rsid w:val="000007BE"/>
    <w:pPr>
      <w:spacing w:after="100"/>
      <w:ind w:left="1400"/>
    </w:pPr>
  </w:style>
  <w:style w:type="paragraph" w:styleId="TOC9">
    <w:name w:val="toc 9"/>
    <w:basedOn w:val="Normal"/>
    <w:next w:val="Normal"/>
    <w:autoRedefine/>
    <w:rsid w:val="000007BE"/>
    <w:pPr>
      <w:spacing w:after="100"/>
      <w:ind w:left="1600"/>
    </w:pPr>
  </w:style>
  <w:style w:type="paragraph" w:styleId="BalloonText">
    <w:name w:val="Balloon Text"/>
    <w:basedOn w:val="Normal"/>
    <w:semiHidden/>
    <w:rsid w:val="0040797A"/>
    <w:rPr>
      <w:rFonts w:ascii="Tahoma" w:hAnsi="Tahoma" w:cs="Tahoma"/>
      <w:sz w:val="16"/>
      <w:szCs w:val="16"/>
    </w:rPr>
  </w:style>
  <w:style w:type="table" w:styleId="TableGrid">
    <w:name w:val="Table Grid"/>
    <w:basedOn w:val="TableNormal"/>
    <w:rsid w:val="00B02C98"/>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B02C98"/>
  </w:style>
  <w:style w:type="paragraph" w:customStyle="1" w:styleId="Style1">
    <w:name w:val="Style1"/>
    <w:basedOn w:val="Heading4"/>
    <w:rsid w:val="00B02C98"/>
    <w:pPr>
      <w:numPr>
        <w:ilvl w:val="0"/>
        <w:numId w:val="0"/>
      </w:numPr>
    </w:pPr>
    <w:rPr>
      <w:b w:val="0"/>
    </w:rPr>
  </w:style>
  <w:style w:type="paragraph" w:styleId="EndnoteText">
    <w:name w:val="endnote text"/>
    <w:basedOn w:val="Normal"/>
    <w:semiHidden/>
    <w:rsid w:val="00B02C98"/>
    <w:rPr>
      <w:szCs w:val="20"/>
    </w:rPr>
  </w:style>
  <w:style w:type="character" w:styleId="CommentReference">
    <w:name w:val="annotation reference"/>
    <w:semiHidden/>
    <w:rsid w:val="004F43EC"/>
    <w:rPr>
      <w:sz w:val="16"/>
      <w:szCs w:val="16"/>
    </w:rPr>
  </w:style>
  <w:style w:type="paragraph" w:styleId="CommentText">
    <w:name w:val="annotation text"/>
    <w:basedOn w:val="Normal"/>
    <w:semiHidden/>
    <w:rsid w:val="004F43EC"/>
    <w:rPr>
      <w:szCs w:val="20"/>
    </w:rPr>
  </w:style>
  <w:style w:type="paragraph" w:styleId="CommentSubject">
    <w:name w:val="annotation subject"/>
    <w:basedOn w:val="CommentText"/>
    <w:next w:val="CommentText"/>
    <w:semiHidden/>
    <w:rsid w:val="004F43EC"/>
    <w:rPr>
      <w:b/>
      <w:bCs/>
    </w:rPr>
  </w:style>
  <w:style w:type="paragraph" w:customStyle="1" w:styleId="COTCOCLV2-ASDEFCON">
    <w:name w:val="COT/COC LV2 - ASDEFCON"/>
    <w:basedOn w:val="ASDEFCONNormal"/>
    <w:next w:val="COTCOCLV3-ASDEFCON"/>
    <w:rsid w:val="000007BE"/>
    <w:pPr>
      <w:keepNext/>
      <w:keepLines/>
      <w:numPr>
        <w:ilvl w:val="1"/>
        <w:numId w:val="4"/>
      </w:numPr>
      <w:pBdr>
        <w:bottom w:val="single" w:sz="4" w:space="1" w:color="auto"/>
      </w:pBdr>
    </w:pPr>
    <w:rPr>
      <w:b/>
    </w:rPr>
  </w:style>
  <w:style w:type="paragraph" w:customStyle="1" w:styleId="ASDEFCONNormal">
    <w:name w:val="ASDEFCON Normal"/>
    <w:link w:val="ASDEFCONNormalChar"/>
    <w:rsid w:val="000007BE"/>
    <w:pPr>
      <w:spacing w:after="120"/>
      <w:jc w:val="both"/>
    </w:pPr>
    <w:rPr>
      <w:rFonts w:ascii="Arial" w:hAnsi="Arial"/>
      <w:color w:val="000000"/>
      <w:szCs w:val="40"/>
    </w:rPr>
  </w:style>
  <w:style w:type="character" w:customStyle="1" w:styleId="ASDEFCONNormalChar">
    <w:name w:val="ASDEFCON Normal Char"/>
    <w:link w:val="ASDEFCONNormal"/>
    <w:rsid w:val="000007BE"/>
    <w:rPr>
      <w:rFonts w:ascii="Arial" w:hAnsi="Arial"/>
      <w:color w:val="000000"/>
      <w:szCs w:val="40"/>
    </w:rPr>
  </w:style>
  <w:style w:type="paragraph" w:customStyle="1" w:styleId="COTCOCLV3-ASDEFCON">
    <w:name w:val="COT/COC LV3 - ASDEFCON"/>
    <w:basedOn w:val="ASDEFCONNormal"/>
    <w:rsid w:val="000007BE"/>
    <w:pPr>
      <w:numPr>
        <w:ilvl w:val="2"/>
        <w:numId w:val="4"/>
      </w:numPr>
    </w:pPr>
  </w:style>
  <w:style w:type="paragraph" w:customStyle="1" w:styleId="COTCOCLV1-ASDEFCON">
    <w:name w:val="COT/COC LV1 - ASDEFCON"/>
    <w:basedOn w:val="ASDEFCONNormal"/>
    <w:next w:val="COTCOCLV2-ASDEFCON"/>
    <w:rsid w:val="000007BE"/>
    <w:pPr>
      <w:keepNext/>
      <w:keepLines/>
      <w:numPr>
        <w:numId w:val="4"/>
      </w:numPr>
      <w:spacing w:before="240"/>
    </w:pPr>
    <w:rPr>
      <w:b/>
      <w:caps/>
    </w:rPr>
  </w:style>
  <w:style w:type="paragraph" w:customStyle="1" w:styleId="COTCOCLV4-ASDEFCON">
    <w:name w:val="COT/COC LV4 - ASDEFCON"/>
    <w:basedOn w:val="ASDEFCONNormal"/>
    <w:rsid w:val="000007BE"/>
    <w:pPr>
      <w:numPr>
        <w:ilvl w:val="3"/>
        <w:numId w:val="4"/>
      </w:numPr>
    </w:pPr>
  </w:style>
  <w:style w:type="paragraph" w:customStyle="1" w:styleId="COTCOCLV5-ASDEFCON">
    <w:name w:val="COT/COC LV5 - ASDEFCON"/>
    <w:basedOn w:val="ASDEFCONNormal"/>
    <w:rsid w:val="000007BE"/>
    <w:pPr>
      <w:numPr>
        <w:ilvl w:val="4"/>
        <w:numId w:val="4"/>
      </w:numPr>
    </w:pPr>
  </w:style>
  <w:style w:type="paragraph" w:customStyle="1" w:styleId="COTCOCLV6-ASDEFCON">
    <w:name w:val="COT/COC LV6 - ASDEFCON"/>
    <w:basedOn w:val="ASDEFCONNormal"/>
    <w:rsid w:val="000007BE"/>
    <w:pPr>
      <w:keepLines/>
      <w:numPr>
        <w:ilvl w:val="5"/>
        <w:numId w:val="4"/>
      </w:numPr>
    </w:pPr>
  </w:style>
  <w:style w:type="paragraph" w:customStyle="1" w:styleId="ASDEFCONOption">
    <w:name w:val="ASDEFCON Option"/>
    <w:basedOn w:val="ASDEFCONNormal"/>
    <w:rsid w:val="000007BE"/>
    <w:pPr>
      <w:keepNext/>
      <w:spacing w:before="60"/>
    </w:pPr>
    <w:rPr>
      <w:b/>
      <w:i/>
      <w:szCs w:val="24"/>
    </w:rPr>
  </w:style>
  <w:style w:type="paragraph" w:customStyle="1" w:styleId="NoteToDrafters-ASDEFCON">
    <w:name w:val="Note To Drafters - ASDEFCON"/>
    <w:basedOn w:val="ASDEFCONNormal"/>
    <w:rsid w:val="000007BE"/>
    <w:pPr>
      <w:keepNext/>
      <w:shd w:val="clear" w:color="auto" w:fill="000000"/>
    </w:pPr>
    <w:rPr>
      <w:b/>
      <w:i/>
      <w:color w:val="FFFFFF"/>
    </w:rPr>
  </w:style>
  <w:style w:type="paragraph" w:customStyle="1" w:styleId="NoteToTenderers-ASDEFCON">
    <w:name w:val="Note To Tenderers - ASDEFCON"/>
    <w:basedOn w:val="ASDEFCONNormal"/>
    <w:rsid w:val="000007BE"/>
    <w:pPr>
      <w:keepNext/>
      <w:shd w:val="pct15" w:color="auto" w:fill="auto"/>
    </w:pPr>
    <w:rPr>
      <w:b/>
      <w:i/>
    </w:rPr>
  </w:style>
  <w:style w:type="paragraph" w:customStyle="1" w:styleId="ASDEFCONTitle">
    <w:name w:val="ASDEFCON Title"/>
    <w:basedOn w:val="ASDEFCONNormal"/>
    <w:rsid w:val="000007BE"/>
    <w:pPr>
      <w:keepLines/>
      <w:spacing w:before="240"/>
      <w:jc w:val="center"/>
    </w:pPr>
    <w:rPr>
      <w:b/>
      <w:caps/>
    </w:rPr>
  </w:style>
  <w:style w:type="paragraph" w:customStyle="1" w:styleId="ATTANNLV1-ASDEFCON">
    <w:name w:val="ATT/ANN LV1 - ASDEFCON"/>
    <w:basedOn w:val="ASDEFCONNormal"/>
    <w:next w:val="ATTANNLV2-ASDEFCON"/>
    <w:rsid w:val="000007BE"/>
    <w:pPr>
      <w:keepNext/>
      <w:keepLines/>
      <w:numPr>
        <w:numId w:val="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0007BE"/>
    <w:pPr>
      <w:numPr>
        <w:ilvl w:val="1"/>
        <w:numId w:val="5"/>
      </w:numPr>
    </w:pPr>
    <w:rPr>
      <w:szCs w:val="24"/>
    </w:rPr>
  </w:style>
  <w:style w:type="character" w:customStyle="1" w:styleId="ATTANNLV2-ASDEFCONChar">
    <w:name w:val="ATT/ANN LV2 - ASDEFCON Char"/>
    <w:link w:val="ATTANNLV2-ASDEFCON"/>
    <w:rsid w:val="000007BE"/>
    <w:rPr>
      <w:rFonts w:ascii="Arial" w:hAnsi="Arial"/>
      <w:color w:val="000000"/>
      <w:szCs w:val="24"/>
    </w:rPr>
  </w:style>
  <w:style w:type="paragraph" w:customStyle="1" w:styleId="ATTANNLV3-ASDEFCON">
    <w:name w:val="ATT/ANN LV3 - ASDEFCON"/>
    <w:basedOn w:val="ASDEFCONNormal"/>
    <w:rsid w:val="000007BE"/>
    <w:pPr>
      <w:numPr>
        <w:ilvl w:val="2"/>
        <w:numId w:val="5"/>
      </w:numPr>
    </w:pPr>
    <w:rPr>
      <w:szCs w:val="24"/>
    </w:rPr>
  </w:style>
  <w:style w:type="paragraph" w:customStyle="1" w:styleId="ATTANNLV4-ASDEFCON">
    <w:name w:val="ATT/ANN LV4 - ASDEFCON"/>
    <w:basedOn w:val="ASDEFCONNormal"/>
    <w:rsid w:val="000007BE"/>
    <w:pPr>
      <w:numPr>
        <w:ilvl w:val="3"/>
        <w:numId w:val="5"/>
      </w:numPr>
    </w:pPr>
    <w:rPr>
      <w:szCs w:val="24"/>
    </w:rPr>
  </w:style>
  <w:style w:type="paragraph" w:customStyle="1" w:styleId="ASDEFCONCoverTitle">
    <w:name w:val="ASDEFCON Cover Title"/>
    <w:rsid w:val="000007BE"/>
    <w:pPr>
      <w:jc w:val="center"/>
    </w:pPr>
    <w:rPr>
      <w:rFonts w:ascii="Georgia" w:hAnsi="Georgia"/>
      <w:b/>
      <w:color w:val="000000"/>
      <w:sz w:val="100"/>
      <w:szCs w:val="24"/>
    </w:rPr>
  </w:style>
  <w:style w:type="paragraph" w:customStyle="1" w:styleId="ASDEFCONHeaderFooterLeft">
    <w:name w:val="ASDEFCON Header/Footer Left"/>
    <w:basedOn w:val="ASDEFCONNormal"/>
    <w:rsid w:val="000007BE"/>
    <w:pPr>
      <w:spacing w:after="0"/>
      <w:jc w:val="left"/>
    </w:pPr>
    <w:rPr>
      <w:sz w:val="16"/>
      <w:szCs w:val="24"/>
    </w:rPr>
  </w:style>
  <w:style w:type="paragraph" w:customStyle="1" w:styleId="ASDEFCONCoverPageIncorp">
    <w:name w:val="ASDEFCON Cover Page Incorp"/>
    <w:rsid w:val="000007BE"/>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0007BE"/>
    <w:rPr>
      <w:b/>
      <w:i/>
    </w:rPr>
  </w:style>
  <w:style w:type="paragraph" w:customStyle="1" w:styleId="COTCOCLV2NONUM-ASDEFCON">
    <w:name w:val="COT/COC LV2 NONUM - ASDEFCON"/>
    <w:basedOn w:val="COTCOCLV2-ASDEFCON"/>
    <w:next w:val="COTCOCLV3-ASDEFCON"/>
    <w:rsid w:val="000007BE"/>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0007BE"/>
    <w:pPr>
      <w:keepNext w:val="0"/>
      <w:numPr>
        <w:numId w:val="0"/>
      </w:numPr>
      <w:ind w:left="851"/>
    </w:pPr>
    <w:rPr>
      <w:bCs/>
      <w:szCs w:val="20"/>
    </w:rPr>
  </w:style>
  <w:style w:type="paragraph" w:customStyle="1" w:styleId="COTCOCLV3NONUM-ASDEFCON">
    <w:name w:val="COT/COC LV3 NONUM - ASDEFCON"/>
    <w:basedOn w:val="COTCOCLV3-ASDEFCON"/>
    <w:next w:val="COTCOCLV3-ASDEFCON"/>
    <w:rsid w:val="000007BE"/>
    <w:pPr>
      <w:numPr>
        <w:ilvl w:val="0"/>
        <w:numId w:val="0"/>
      </w:numPr>
      <w:ind w:left="851"/>
    </w:pPr>
    <w:rPr>
      <w:szCs w:val="20"/>
    </w:rPr>
  </w:style>
  <w:style w:type="paragraph" w:customStyle="1" w:styleId="COTCOCLV4NONUM-ASDEFCON">
    <w:name w:val="COT/COC LV4 NONUM - ASDEFCON"/>
    <w:basedOn w:val="COTCOCLV4-ASDEFCON"/>
    <w:next w:val="COTCOCLV4-ASDEFCON"/>
    <w:rsid w:val="000007BE"/>
    <w:pPr>
      <w:numPr>
        <w:ilvl w:val="0"/>
        <w:numId w:val="0"/>
      </w:numPr>
      <w:ind w:left="1418"/>
    </w:pPr>
    <w:rPr>
      <w:szCs w:val="20"/>
    </w:rPr>
  </w:style>
  <w:style w:type="paragraph" w:customStyle="1" w:styleId="COTCOCLV5NONUM-ASDEFCON">
    <w:name w:val="COT/COC LV5 NONUM - ASDEFCON"/>
    <w:basedOn w:val="COTCOCLV5-ASDEFCON"/>
    <w:next w:val="COTCOCLV5-ASDEFCON"/>
    <w:rsid w:val="000007BE"/>
    <w:pPr>
      <w:numPr>
        <w:ilvl w:val="0"/>
        <w:numId w:val="0"/>
      </w:numPr>
      <w:ind w:left="1985"/>
    </w:pPr>
    <w:rPr>
      <w:szCs w:val="20"/>
    </w:rPr>
  </w:style>
  <w:style w:type="paragraph" w:customStyle="1" w:styleId="COTCOCLV6NONUM-ASDEFCON">
    <w:name w:val="COT/COC LV6 NONUM - ASDEFCON"/>
    <w:basedOn w:val="COTCOCLV6-ASDEFCON"/>
    <w:next w:val="COTCOCLV6-ASDEFCON"/>
    <w:rsid w:val="000007BE"/>
    <w:pPr>
      <w:numPr>
        <w:ilvl w:val="0"/>
        <w:numId w:val="0"/>
      </w:numPr>
      <w:ind w:left="2552"/>
    </w:pPr>
    <w:rPr>
      <w:szCs w:val="20"/>
    </w:rPr>
  </w:style>
  <w:style w:type="paragraph" w:customStyle="1" w:styleId="ATTANNLV1NONUM-ASDEFCON">
    <w:name w:val="ATT/ANN LV1 NONUM - ASDEFCON"/>
    <w:basedOn w:val="ATTANNLV1-ASDEFCON"/>
    <w:next w:val="ATTANNLV2-ASDEFCON"/>
    <w:rsid w:val="000007BE"/>
    <w:pPr>
      <w:numPr>
        <w:numId w:val="0"/>
      </w:numPr>
      <w:ind w:left="851"/>
    </w:pPr>
    <w:rPr>
      <w:bCs/>
      <w:szCs w:val="20"/>
    </w:rPr>
  </w:style>
  <w:style w:type="paragraph" w:customStyle="1" w:styleId="ATTANNLV2NONUM-ASDEFCON">
    <w:name w:val="ATT/ANN LV2 NONUM - ASDEFCON"/>
    <w:basedOn w:val="ATTANNLV2-ASDEFCON"/>
    <w:next w:val="ATTANNLV2-ASDEFCON"/>
    <w:rsid w:val="000007BE"/>
    <w:pPr>
      <w:numPr>
        <w:ilvl w:val="0"/>
        <w:numId w:val="0"/>
      </w:numPr>
      <w:ind w:left="851"/>
    </w:pPr>
    <w:rPr>
      <w:szCs w:val="20"/>
    </w:rPr>
  </w:style>
  <w:style w:type="paragraph" w:customStyle="1" w:styleId="ATTANNLV3NONUM-ASDEFCON">
    <w:name w:val="ATT/ANN LV3 NONUM - ASDEFCON"/>
    <w:basedOn w:val="ATTANNLV3-ASDEFCON"/>
    <w:next w:val="ATTANNLV3-ASDEFCON"/>
    <w:rsid w:val="000007BE"/>
    <w:pPr>
      <w:numPr>
        <w:ilvl w:val="0"/>
        <w:numId w:val="0"/>
      </w:numPr>
      <w:ind w:left="1418"/>
    </w:pPr>
    <w:rPr>
      <w:szCs w:val="20"/>
    </w:rPr>
  </w:style>
  <w:style w:type="paragraph" w:customStyle="1" w:styleId="ATTANNLV4NONUM-ASDEFCON">
    <w:name w:val="ATT/ANN LV4 NONUM - ASDEFCON"/>
    <w:basedOn w:val="ATTANNLV4-ASDEFCON"/>
    <w:next w:val="ATTANNLV4-ASDEFCON"/>
    <w:rsid w:val="000007BE"/>
    <w:pPr>
      <w:numPr>
        <w:ilvl w:val="0"/>
        <w:numId w:val="0"/>
      </w:numPr>
      <w:ind w:left="1985"/>
    </w:pPr>
    <w:rPr>
      <w:szCs w:val="20"/>
    </w:rPr>
  </w:style>
  <w:style w:type="paragraph" w:customStyle="1" w:styleId="NoteToDraftersBullets-ASDEFCON">
    <w:name w:val="Note To Drafters Bullets - ASDEFCON"/>
    <w:basedOn w:val="NoteToDrafters-ASDEFCON"/>
    <w:rsid w:val="000007BE"/>
    <w:pPr>
      <w:numPr>
        <w:numId w:val="6"/>
      </w:numPr>
    </w:pPr>
    <w:rPr>
      <w:bCs/>
      <w:iCs/>
      <w:szCs w:val="20"/>
    </w:rPr>
  </w:style>
  <w:style w:type="paragraph" w:customStyle="1" w:styleId="NoteToDraftersList-ASDEFCON">
    <w:name w:val="Note To Drafters List - ASDEFCON"/>
    <w:basedOn w:val="NoteToDrafters-ASDEFCON"/>
    <w:rsid w:val="000007BE"/>
    <w:pPr>
      <w:numPr>
        <w:numId w:val="7"/>
      </w:numPr>
    </w:pPr>
    <w:rPr>
      <w:bCs/>
      <w:iCs/>
      <w:szCs w:val="20"/>
    </w:rPr>
  </w:style>
  <w:style w:type="paragraph" w:customStyle="1" w:styleId="NoteToTenderersBullets-ASDEFCON">
    <w:name w:val="Note To Tenderers Bullets - ASDEFCON"/>
    <w:basedOn w:val="NoteToTenderers-ASDEFCON"/>
    <w:rsid w:val="000007BE"/>
    <w:pPr>
      <w:numPr>
        <w:numId w:val="8"/>
      </w:numPr>
    </w:pPr>
    <w:rPr>
      <w:bCs/>
      <w:iCs/>
      <w:szCs w:val="20"/>
    </w:rPr>
  </w:style>
  <w:style w:type="paragraph" w:customStyle="1" w:styleId="NoteToTenderersList-ASDEFCON">
    <w:name w:val="Note To Tenderers List - ASDEFCON"/>
    <w:basedOn w:val="NoteToTenderers-ASDEFCON"/>
    <w:rsid w:val="000007BE"/>
    <w:pPr>
      <w:numPr>
        <w:numId w:val="9"/>
      </w:numPr>
    </w:pPr>
    <w:rPr>
      <w:bCs/>
      <w:iCs/>
      <w:szCs w:val="20"/>
    </w:rPr>
  </w:style>
  <w:style w:type="paragraph" w:customStyle="1" w:styleId="SOWHL1-ASDEFCON">
    <w:name w:val="SOW HL1 - ASDEFCON"/>
    <w:basedOn w:val="ASDEFCONNormal"/>
    <w:next w:val="SOWHL2-ASDEFCON"/>
    <w:qFormat/>
    <w:rsid w:val="000007BE"/>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0007BE"/>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0007BE"/>
    <w:pPr>
      <w:keepNext/>
      <w:numPr>
        <w:ilvl w:val="2"/>
        <w:numId w:val="2"/>
      </w:numPr>
    </w:pPr>
    <w:rPr>
      <w:rFonts w:eastAsia="Calibri"/>
      <w:b/>
      <w:szCs w:val="22"/>
      <w:lang w:eastAsia="en-US"/>
    </w:rPr>
  </w:style>
  <w:style w:type="paragraph" w:customStyle="1" w:styleId="SOWHL4-ASDEFCON">
    <w:name w:val="SOW HL4 - ASDEFCON"/>
    <w:basedOn w:val="ASDEFCONNormal"/>
    <w:qFormat/>
    <w:rsid w:val="000007BE"/>
    <w:pPr>
      <w:keepNext/>
      <w:numPr>
        <w:ilvl w:val="3"/>
        <w:numId w:val="2"/>
      </w:numPr>
    </w:pPr>
    <w:rPr>
      <w:rFonts w:eastAsia="Calibri"/>
      <w:b/>
      <w:szCs w:val="22"/>
      <w:lang w:eastAsia="en-US"/>
    </w:rPr>
  </w:style>
  <w:style w:type="paragraph" w:customStyle="1" w:styleId="SOWHL5-ASDEFCON">
    <w:name w:val="SOW HL5 - ASDEFCON"/>
    <w:basedOn w:val="ASDEFCONNormal"/>
    <w:qFormat/>
    <w:rsid w:val="000007BE"/>
    <w:pPr>
      <w:keepNext/>
      <w:numPr>
        <w:ilvl w:val="4"/>
        <w:numId w:val="2"/>
      </w:numPr>
    </w:pPr>
    <w:rPr>
      <w:rFonts w:eastAsia="Calibri"/>
      <w:b/>
      <w:szCs w:val="22"/>
      <w:lang w:eastAsia="en-US"/>
    </w:rPr>
  </w:style>
  <w:style w:type="paragraph" w:customStyle="1" w:styleId="SOWSubL1-ASDEFCON">
    <w:name w:val="SOW SubL1 - ASDEFCON"/>
    <w:basedOn w:val="ASDEFCONNormal"/>
    <w:qFormat/>
    <w:rsid w:val="000007BE"/>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0007BE"/>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0007BE"/>
    <w:pPr>
      <w:numPr>
        <w:ilvl w:val="0"/>
        <w:numId w:val="0"/>
      </w:numPr>
      <w:ind w:left="1134"/>
    </w:pPr>
    <w:rPr>
      <w:rFonts w:eastAsia="Times New Roman"/>
      <w:bCs/>
      <w:szCs w:val="20"/>
    </w:rPr>
  </w:style>
  <w:style w:type="paragraph" w:customStyle="1" w:styleId="SOWTL2-ASDEFCON">
    <w:name w:val="SOW TL2 - ASDEFCON"/>
    <w:basedOn w:val="SOWHL2-ASDEFCON"/>
    <w:rsid w:val="000007BE"/>
    <w:pPr>
      <w:keepNext w:val="0"/>
      <w:pBdr>
        <w:bottom w:val="none" w:sz="0" w:space="0" w:color="auto"/>
      </w:pBdr>
    </w:pPr>
    <w:rPr>
      <w:b w:val="0"/>
    </w:rPr>
  </w:style>
  <w:style w:type="paragraph" w:customStyle="1" w:styleId="SOWTL3NONUM-ASDEFCON">
    <w:name w:val="SOW TL3 NONUM - ASDEFCON"/>
    <w:basedOn w:val="SOWTL3-ASDEFCON"/>
    <w:next w:val="SOWTL3-ASDEFCON"/>
    <w:rsid w:val="000007BE"/>
    <w:pPr>
      <w:numPr>
        <w:ilvl w:val="0"/>
        <w:numId w:val="0"/>
      </w:numPr>
      <w:ind w:left="1134"/>
    </w:pPr>
    <w:rPr>
      <w:rFonts w:eastAsia="Times New Roman"/>
      <w:bCs/>
      <w:szCs w:val="20"/>
    </w:rPr>
  </w:style>
  <w:style w:type="paragraph" w:customStyle="1" w:styleId="SOWTL3-ASDEFCON">
    <w:name w:val="SOW TL3 - ASDEFCON"/>
    <w:basedOn w:val="SOWHL3-ASDEFCON"/>
    <w:rsid w:val="000007BE"/>
    <w:pPr>
      <w:keepNext w:val="0"/>
    </w:pPr>
    <w:rPr>
      <w:b w:val="0"/>
    </w:rPr>
  </w:style>
  <w:style w:type="paragraph" w:customStyle="1" w:styleId="SOWTL4NONUM-ASDEFCON">
    <w:name w:val="SOW TL4 NONUM - ASDEFCON"/>
    <w:basedOn w:val="SOWTL4-ASDEFCON"/>
    <w:next w:val="SOWTL4-ASDEFCON"/>
    <w:rsid w:val="000007BE"/>
    <w:pPr>
      <w:numPr>
        <w:ilvl w:val="0"/>
        <w:numId w:val="0"/>
      </w:numPr>
      <w:ind w:left="1134"/>
    </w:pPr>
    <w:rPr>
      <w:rFonts w:eastAsia="Times New Roman"/>
      <w:bCs/>
      <w:szCs w:val="20"/>
    </w:rPr>
  </w:style>
  <w:style w:type="paragraph" w:customStyle="1" w:styleId="SOWTL4-ASDEFCON">
    <w:name w:val="SOW TL4 - ASDEFCON"/>
    <w:basedOn w:val="SOWHL4-ASDEFCON"/>
    <w:rsid w:val="000007BE"/>
    <w:pPr>
      <w:keepNext w:val="0"/>
    </w:pPr>
    <w:rPr>
      <w:b w:val="0"/>
    </w:rPr>
  </w:style>
  <w:style w:type="paragraph" w:customStyle="1" w:styleId="SOWTL5NONUM-ASDEFCON">
    <w:name w:val="SOW TL5 NONUM - ASDEFCON"/>
    <w:basedOn w:val="SOWHL5-ASDEFCON"/>
    <w:next w:val="SOWTL5-ASDEFCON"/>
    <w:rsid w:val="000007BE"/>
    <w:pPr>
      <w:keepNext w:val="0"/>
      <w:numPr>
        <w:ilvl w:val="0"/>
        <w:numId w:val="0"/>
      </w:numPr>
      <w:ind w:left="1134"/>
    </w:pPr>
    <w:rPr>
      <w:b w:val="0"/>
    </w:rPr>
  </w:style>
  <w:style w:type="paragraph" w:customStyle="1" w:styleId="SOWTL5-ASDEFCON">
    <w:name w:val="SOW TL5 - ASDEFCON"/>
    <w:basedOn w:val="SOWHL5-ASDEFCON"/>
    <w:rsid w:val="000007BE"/>
    <w:pPr>
      <w:keepNext w:val="0"/>
    </w:pPr>
    <w:rPr>
      <w:b w:val="0"/>
    </w:rPr>
  </w:style>
  <w:style w:type="paragraph" w:customStyle="1" w:styleId="SOWSubL2-ASDEFCON">
    <w:name w:val="SOW SubL2 - ASDEFCON"/>
    <w:basedOn w:val="ASDEFCONNormal"/>
    <w:qFormat/>
    <w:rsid w:val="000007BE"/>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0007BE"/>
    <w:pPr>
      <w:numPr>
        <w:numId w:val="0"/>
      </w:numPr>
      <w:ind w:left="1701"/>
    </w:pPr>
  </w:style>
  <w:style w:type="paragraph" w:customStyle="1" w:styleId="SOWSubL2NONUM-ASDEFCON">
    <w:name w:val="SOW SubL2 NONUM - ASDEFCON"/>
    <w:basedOn w:val="SOWSubL2-ASDEFCON"/>
    <w:next w:val="SOWSubL2-ASDEFCON"/>
    <w:qFormat/>
    <w:rsid w:val="000007BE"/>
    <w:pPr>
      <w:numPr>
        <w:ilvl w:val="0"/>
        <w:numId w:val="0"/>
      </w:numPr>
      <w:ind w:left="2268"/>
    </w:pPr>
  </w:style>
  <w:style w:type="paragraph" w:styleId="FootnoteText">
    <w:name w:val="footnote text"/>
    <w:basedOn w:val="Normal"/>
    <w:link w:val="FootnoteTextChar"/>
    <w:semiHidden/>
    <w:rsid w:val="000007BE"/>
    <w:rPr>
      <w:szCs w:val="20"/>
    </w:rPr>
  </w:style>
  <w:style w:type="character" w:customStyle="1" w:styleId="FootnoteTextChar">
    <w:name w:val="Footnote Text Char"/>
    <w:basedOn w:val="DefaultParagraphFont"/>
    <w:link w:val="FootnoteText"/>
    <w:semiHidden/>
    <w:rsid w:val="000F6197"/>
    <w:rPr>
      <w:rFonts w:ascii="Arial" w:hAnsi="Arial"/>
    </w:rPr>
  </w:style>
  <w:style w:type="paragraph" w:customStyle="1" w:styleId="ASDEFCONTextBlock">
    <w:name w:val="ASDEFCON TextBlock"/>
    <w:basedOn w:val="ASDEFCONNormal"/>
    <w:qFormat/>
    <w:rsid w:val="000007BE"/>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0007BE"/>
    <w:pPr>
      <w:numPr>
        <w:numId w:val="1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0007BE"/>
    <w:pPr>
      <w:keepNext/>
      <w:spacing w:before="240"/>
    </w:pPr>
    <w:rPr>
      <w:rFonts w:ascii="Arial Bold" w:hAnsi="Arial Bold"/>
      <w:b/>
      <w:bCs/>
      <w:caps/>
      <w:szCs w:val="20"/>
    </w:rPr>
  </w:style>
  <w:style w:type="paragraph" w:customStyle="1" w:styleId="Table8ptHeading-ASDEFCON">
    <w:name w:val="Table 8pt Heading - ASDEFCON"/>
    <w:basedOn w:val="ASDEFCONNormal"/>
    <w:rsid w:val="000007BE"/>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0007BE"/>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0007BE"/>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0007BE"/>
    <w:rPr>
      <w:rFonts w:ascii="Arial" w:eastAsia="Calibri" w:hAnsi="Arial"/>
      <w:color w:val="000000"/>
      <w:szCs w:val="22"/>
      <w:lang w:eastAsia="en-US"/>
    </w:rPr>
  </w:style>
  <w:style w:type="paragraph" w:customStyle="1" w:styleId="Table8ptSub1-ASDEFCON">
    <w:name w:val="Table 8pt Sub1 - ASDEFCON"/>
    <w:basedOn w:val="Table8ptText-ASDEFCON"/>
    <w:rsid w:val="000007BE"/>
    <w:pPr>
      <w:numPr>
        <w:ilvl w:val="1"/>
      </w:numPr>
    </w:pPr>
  </w:style>
  <w:style w:type="paragraph" w:customStyle="1" w:styleId="Table8ptSub2-ASDEFCON">
    <w:name w:val="Table 8pt Sub2 - ASDEFCON"/>
    <w:basedOn w:val="Table8ptText-ASDEFCON"/>
    <w:rsid w:val="000007BE"/>
    <w:pPr>
      <w:numPr>
        <w:ilvl w:val="2"/>
      </w:numPr>
    </w:pPr>
  </w:style>
  <w:style w:type="paragraph" w:customStyle="1" w:styleId="Table10ptHeading-ASDEFCON">
    <w:name w:val="Table 10pt Heading - ASDEFCON"/>
    <w:basedOn w:val="ASDEFCONNormal"/>
    <w:rsid w:val="000007BE"/>
    <w:pPr>
      <w:keepNext/>
      <w:spacing w:before="60" w:after="60"/>
      <w:jc w:val="center"/>
    </w:pPr>
    <w:rPr>
      <w:b/>
    </w:rPr>
  </w:style>
  <w:style w:type="paragraph" w:customStyle="1" w:styleId="Table8ptBP1-ASDEFCON">
    <w:name w:val="Table 8pt BP1 - ASDEFCON"/>
    <w:basedOn w:val="Table8ptText-ASDEFCON"/>
    <w:rsid w:val="000007BE"/>
    <w:pPr>
      <w:numPr>
        <w:numId w:val="12"/>
      </w:numPr>
    </w:pPr>
  </w:style>
  <w:style w:type="paragraph" w:customStyle="1" w:styleId="Table8ptBP2-ASDEFCON">
    <w:name w:val="Table 8pt BP2 - ASDEFCON"/>
    <w:basedOn w:val="Table8ptText-ASDEFCON"/>
    <w:rsid w:val="000007BE"/>
    <w:pPr>
      <w:numPr>
        <w:ilvl w:val="1"/>
        <w:numId w:val="12"/>
      </w:numPr>
      <w:tabs>
        <w:tab w:val="clear" w:pos="284"/>
      </w:tabs>
    </w:pPr>
    <w:rPr>
      <w:iCs/>
    </w:rPr>
  </w:style>
  <w:style w:type="paragraph" w:customStyle="1" w:styleId="ASDEFCONBulletsLV1">
    <w:name w:val="ASDEFCON Bullets LV1"/>
    <w:basedOn w:val="ASDEFCONNormal"/>
    <w:rsid w:val="000007BE"/>
    <w:pPr>
      <w:numPr>
        <w:numId w:val="14"/>
      </w:numPr>
    </w:pPr>
    <w:rPr>
      <w:rFonts w:eastAsia="Calibri"/>
      <w:szCs w:val="22"/>
      <w:lang w:eastAsia="en-US"/>
    </w:rPr>
  </w:style>
  <w:style w:type="paragraph" w:customStyle="1" w:styleId="Table10ptSub1-ASDEFCON">
    <w:name w:val="Table 10pt Sub1 - ASDEFCON"/>
    <w:basedOn w:val="Table10ptText-ASDEFCON"/>
    <w:rsid w:val="000007BE"/>
    <w:pPr>
      <w:numPr>
        <w:ilvl w:val="1"/>
      </w:numPr>
      <w:jc w:val="both"/>
    </w:pPr>
  </w:style>
  <w:style w:type="paragraph" w:customStyle="1" w:styleId="Table10ptSub2-ASDEFCON">
    <w:name w:val="Table 10pt Sub2 - ASDEFCON"/>
    <w:basedOn w:val="Table10ptText-ASDEFCON"/>
    <w:rsid w:val="000007BE"/>
    <w:pPr>
      <w:numPr>
        <w:ilvl w:val="2"/>
      </w:numPr>
      <w:jc w:val="both"/>
    </w:pPr>
  </w:style>
  <w:style w:type="paragraph" w:customStyle="1" w:styleId="ASDEFCONBulletsLV2">
    <w:name w:val="ASDEFCON Bullets LV2"/>
    <w:basedOn w:val="ASDEFCONNormal"/>
    <w:rsid w:val="000007BE"/>
    <w:pPr>
      <w:numPr>
        <w:numId w:val="1"/>
      </w:numPr>
    </w:pPr>
  </w:style>
  <w:style w:type="paragraph" w:customStyle="1" w:styleId="Table10ptBP1-ASDEFCON">
    <w:name w:val="Table 10pt BP1 - ASDEFCON"/>
    <w:basedOn w:val="ASDEFCONNormal"/>
    <w:rsid w:val="000007BE"/>
    <w:pPr>
      <w:numPr>
        <w:numId w:val="18"/>
      </w:numPr>
      <w:spacing w:before="60" w:after="60"/>
    </w:pPr>
  </w:style>
  <w:style w:type="paragraph" w:customStyle="1" w:styleId="Table10ptBP2-ASDEFCON">
    <w:name w:val="Table 10pt BP2 - ASDEFCON"/>
    <w:basedOn w:val="ASDEFCONNormal"/>
    <w:link w:val="Table10ptBP2-ASDEFCONCharChar"/>
    <w:rsid w:val="000007BE"/>
    <w:pPr>
      <w:numPr>
        <w:ilvl w:val="1"/>
        <w:numId w:val="18"/>
      </w:numPr>
      <w:spacing w:before="60" w:after="60"/>
    </w:pPr>
  </w:style>
  <w:style w:type="character" w:customStyle="1" w:styleId="Table10ptBP2-ASDEFCONCharChar">
    <w:name w:val="Table 10pt BP2 - ASDEFCON Char Char"/>
    <w:link w:val="Table10ptBP2-ASDEFCON"/>
    <w:rsid w:val="000007BE"/>
    <w:rPr>
      <w:rFonts w:ascii="Arial" w:hAnsi="Arial"/>
      <w:color w:val="000000"/>
      <w:szCs w:val="40"/>
    </w:rPr>
  </w:style>
  <w:style w:type="paragraph" w:customStyle="1" w:styleId="GuideMarginHead-ASDEFCON">
    <w:name w:val="Guide Margin Head - ASDEFCON"/>
    <w:basedOn w:val="ASDEFCONNormal"/>
    <w:rsid w:val="000007BE"/>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0007BE"/>
    <w:pPr>
      <w:ind w:left="1680"/>
    </w:pPr>
    <w:rPr>
      <w:lang w:eastAsia="en-US"/>
    </w:rPr>
  </w:style>
  <w:style w:type="paragraph" w:customStyle="1" w:styleId="GuideSublistLv1-ASDEFCON">
    <w:name w:val="Guide Sublist Lv1 - ASDEFCON"/>
    <w:basedOn w:val="ASDEFCONNormal"/>
    <w:qFormat/>
    <w:rsid w:val="000007BE"/>
    <w:pPr>
      <w:numPr>
        <w:numId w:val="22"/>
      </w:numPr>
    </w:pPr>
    <w:rPr>
      <w:rFonts w:eastAsia="Calibri"/>
      <w:szCs w:val="22"/>
      <w:lang w:eastAsia="en-US"/>
    </w:rPr>
  </w:style>
  <w:style w:type="paragraph" w:customStyle="1" w:styleId="GuideBullets-ASDEFCON">
    <w:name w:val="Guide Bullets - ASDEFCON"/>
    <w:basedOn w:val="ASDEFCONNormal"/>
    <w:rsid w:val="000007BE"/>
    <w:pPr>
      <w:numPr>
        <w:ilvl w:val="6"/>
        <w:numId w:val="13"/>
      </w:numPr>
    </w:pPr>
    <w:rPr>
      <w:rFonts w:eastAsia="Calibri"/>
      <w:szCs w:val="22"/>
      <w:lang w:eastAsia="en-US"/>
    </w:rPr>
  </w:style>
  <w:style w:type="paragraph" w:customStyle="1" w:styleId="GuideLV2Head-ASDEFCON">
    <w:name w:val="Guide LV2 Head - ASDEFCON"/>
    <w:basedOn w:val="ASDEFCONNormal"/>
    <w:next w:val="GuideText-ASDEFCON"/>
    <w:rsid w:val="000007BE"/>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0007BE"/>
    <w:pPr>
      <w:keepNext/>
      <w:spacing w:before="240"/>
    </w:pPr>
    <w:rPr>
      <w:rFonts w:eastAsia="Calibri"/>
      <w:b/>
      <w:caps/>
      <w:szCs w:val="20"/>
      <w:lang w:eastAsia="en-US"/>
    </w:rPr>
  </w:style>
  <w:style w:type="paragraph" w:customStyle="1" w:styleId="ASDEFCONSublist">
    <w:name w:val="ASDEFCON Sublist"/>
    <w:basedOn w:val="ASDEFCONNormal"/>
    <w:rsid w:val="000007BE"/>
    <w:pPr>
      <w:numPr>
        <w:numId w:val="23"/>
      </w:numPr>
    </w:pPr>
    <w:rPr>
      <w:iCs/>
    </w:rPr>
  </w:style>
  <w:style w:type="paragraph" w:customStyle="1" w:styleId="ASDEFCONRecitals">
    <w:name w:val="ASDEFCON Recitals"/>
    <w:basedOn w:val="ASDEFCONNormal"/>
    <w:link w:val="ASDEFCONRecitalsCharChar"/>
    <w:rsid w:val="000007BE"/>
    <w:pPr>
      <w:numPr>
        <w:numId w:val="15"/>
      </w:numPr>
    </w:pPr>
  </w:style>
  <w:style w:type="character" w:customStyle="1" w:styleId="ASDEFCONRecitalsCharChar">
    <w:name w:val="ASDEFCON Recitals Char Char"/>
    <w:link w:val="ASDEFCONRecitals"/>
    <w:rsid w:val="000007BE"/>
    <w:rPr>
      <w:rFonts w:ascii="Arial" w:hAnsi="Arial"/>
      <w:color w:val="000000"/>
      <w:szCs w:val="40"/>
    </w:rPr>
  </w:style>
  <w:style w:type="paragraph" w:customStyle="1" w:styleId="NoteList-ASDEFCON">
    <w:name w:val="Note List - ASDEFCON"/>
    <w:basedOn w:val="ASDEFCONNormal"/>
    <w:rsid w:val="000007BE"/>
    <w:pPr>
      <w:numPr>
        <w:numId w:val="16"/>
      </w:numPr>
    </w:pPr>
    <w:rPr>
      <w:b/>
      <w:bCs/>
      <w:i/>
    </w:rPr>
  </w:style>
  <w:style w:type="paragraph" w:customStyle="1" w:styleId="NoteBullets-ASDEFCON">
    <w:name w:val="Note Bullets - ASDEFCON"/>
    <w:basedOn w:val="ASDEFCONNormal"/>
    <w:rsid w:val="000007BE"/>
    <w:pPr>
      <w:numPr>
        <w:numId w:val="17"/>
      </w:numPr>
    </w:pPr>
    <w:rPr>
      <w:b/>
      <w:i/>
    </w:rPr>
  </w:style>
  <w:style w:type="paragraph" w:styleId="Caption">
    <w:name w:val="caption"/>
    <w:basedOn w:val="Normal"/>
    <w:next w:val="Normal"/>
    <w:qFormat/>
    <w:rsid w:val="000007BE"/>
    <w:pPr>
      <w:spacing w:before="120" w:after="0"/>
      <w:jc w:val="center"/>
    </w:pPr>
    <w:rPr>
      <w:rFonts w:cs="Arial"/>
      <w:b/>
      <w:bCs/>
      <w:szCs w:val="20"/>
    </w:rPr>
  </w:style>
  <w:style w:type="paragraph" w:customStyle="1" w:styleId="ASDEFCONOperativePartListLV1">
    <w:name w:val="ASDEFCON Operative Part List LV1"/>
    <w:basedOn w:val="ASDEFCONNormal"/>
    <w:rsid w:val="000007BE"/>
    <w:pPr>
      <w:numPr>
        <w:numId w:val="19"/>
      </w:numPr>
    </w:pPr>
    <w:rPr>
      <w:iCs/>
    </w:rPr>
  </w:style>
  <w:style w:type="paragraph" w:customStyle="1" w:styleId="ASDEFCONOperativePartListLV2">
    <w:name w:val="ASDEFCON Operative Part List LV2"/>
    <w:basedOn w:val="ASDEFCONOperativePartListLV1"/>
    <w:rsid w:val="000007BE"/>
    <w:pPr>
      <w:numPr>
        <w:ilvl w:val="1"/>
      </w:numPr>
    </w:pPr>
  </w:style>
  <w:style w:type="paragraph" w:customStyle="1" w:styleId="ASDEFCONOptionSpace">
    <w:name w:val="ASDEFCON Option Space"/>
    <w:basedOn w:val="ASDEFCONNormal"/>
    <w:rsid w:val="000007BE"/>
    <w:pPr>
      <w:spacing w:after="0"/>
    </w:pPr>
    <w:rPr>
      <w:bCs/>
      <w:color w:val="FFFFFF"/>
      <w:sz w:val="8"/>
    </w:rPr>
  </w:style>
  <w:style w:type="paragraph" w:customStyle="1" w:styleId="ATTANNReferencetoCOC">
    <w:name w:val="ATT/ANN Reference to COC"/>
    <w:basedOn w:val="ASDEFCONNormal"/>
    <w:rsid w:val="000007BE"/>
    <w:pPr>
      <w:keepNext/>
      <w:jc w:val="right"/>
    </w:pPr>
    <w:rPr>
      <w:i/>
      <w:iCs/>
      <w:szCs w:val="20"/>
    </w:rPr>
  </w:style>
  <w:style w:type="paragraph" w:customStyle="1" w:styleId="ASDEFCONHeaderFooterCenter">
    <w:name w:val="ASDEFCON Header/Footer Center"/>
    <w:basedOn w:val="ASDEFCONHeaderFooterLeft"/>
    <w:rsid w:val="000007BE"/>
    <w:pPr>
      <w:jc w:val="center"/>
    </w:pPr>
    <w:rPr>
      <w:szCs w:val="20"/>
    </w:rPr>
  </w:style>
  <w:style w:type="paragraph" w:customStyle="1" w:styleId="ASDEFCONHeaderFooterRight">
    <w:name w:val="ASDEFCON Header/Footer Right"/>
    <w:basedOn w:val="ASDEFCONHeaderFooterLeft"/>
    <w:rsid w:val="000007BE"/>
    <w:pPr>
      <w:jc w:val="right"/>
    </w:pPr>
    <w:rPr>
      <w:szCs w:val="20"/>
    </w:rPr>
  </w:style>
  <w:style w:type="paragraph" w:customStyle="1" w:styleId="ASDEFCONHeaderFooterClassification">
    <w:name w:val="ASDEFCON Header/Footer Classification"/>
    <w:basedOn w:val="ASDEFCONHeaderFooterLeft"/>
    <w:rsid w:val="000007BE"/>
    <w:pPr>
      <w:jc w:val="center"/>
    </w:pPr>
    <w:rPr>
      <w:rFonts w:ascii="Arial Bold" w:hAnsi="Arial Bold"/>
      <w:b/>
      <w:bCs/>
      <w:caps/>
      <w:sz w:val="20"/>
    </w:rPr>
  </w:style>
  <w:style w:type="paragraph" w:customStyle="1" w:styleId="GuideLV3Head-ASDEFCON">
    <w:name w:val="Guide LV3 Head - ASDEFCON"/>
    <w:basedOn w:val="ASDEFCONNormal"/>
    <w:rsid w:val="000007BE"/>
    <w:pPr>
      <w:keepNext/>
    </w:pPr>
    <w:rPr>
      <w:rFonts w:eastAsia="Calibri"/>
      <w:b/>
      <w:szCs w:val="22"/>
      <w:lang w:eastAsia="en-US"/>
    </w:rPr>
  </w:style>
  <w:style w:type="paragraph" w:customStyle="1" w:styleId="GuideSublistLv2-ASDEFCON">
    <w:name w:val="Guide Sublist Lv2 - ASDEFCON"/>
    <w:basedOn w:val="ASDEFCONNormal"/>
    <w:rsid w:val="000007BE"/>
    <w:pPr>
      <w:numPr>
        <w:ilvl w:val="1"/>
        <w:numId w:val="22"/>
      </w:numPr>
    </w:pPr>
  </w:style>
  <w:style w:type="character" w:customStyle="1" w:styleId="Heading2Char">
    <w:name w:val="Heading 2 Char"/>
    <w:link w:val="Heading2"/>
    <w:rsid w:val="000007BE"/>
    <w:rPr>
      <w:rFonts w:ascii="Cambria" w:hAnsi="Cambria"/>
      <w:b/>
      <w:bCs/>
      <w:color w:val="4F81BD"/>
      <w:sz w:val="26"/>
      <w:szCs w:val="26"/>
    </w:rPr>
  </w:style>
  <w:style w:type="character" w:styleId="Hyperlink">
    <w:name w:val="Hyperlink"/>
    <w:uiPriority w:val="99"/>
    <w:unhideWhenUsed/>
    <w:rsid w:val="000007BE"/>
    <w:rPr>
      <w:color w:val="0000FF"/>
      <w:u w:val="single"/>
    </w:rPr>
  </w:style>
  <w:style w:type="paragraph" w:customStyle="1" w:styleId="ASDEFCONList">
    <w:name w:val="ASDEFCON List"/>
    <w:basedOn w:val="ASDEFCONNormal"/>
    <w:qFormat/>
    <w:rsid w:val="000007BE"/>
    <w:pPr>
      <w:numPr>
        <w:numId w:val="24"/>
      </w:numPr>
    </w:pPr>
  </w:style>
  <w:style w:type="paragraph" w:styleId="TOCHeading">
    <w:name w:val="TOC Heading"/>
    <w:basedOn w:val="Heading1"/>
    <w:next w:val="Normal"/>
    <w:uiPriority w:val="39"/>
    <w:semiHidden/>
    <w:unhideWhenUsed/>
    <w:qFormat/>
    <w:rsid w:val="000F6197"/>
    <w:pPr>
      <w:keepLines/>
      <w:numPr>
        <w:numId w:val="0"/>
      </w:numPr>
      <w:spacing w:after="0"/>
      <w:outlineLvl w:val="9"/>
    </w:pPr>
    <w:rPr>
      <w:rFonts w:asciiTheme="majorHAnsi" w:eastAsiaTheme="majorEastAsia" w:hAnsiTheme="majorHAnsi" w:cstheme="majorBidi"/>
      <w:b w:val="0"/>
      <w:bCs w:val="0"/>
      <w:color w:val="365F91" w:themeColor="accent1" w:themeShade="BF"/>
      <w:kern w:val="0"/>
    </w:rPr>
  </w:style>
  <w:style w:type="paragraph" w:customStyle="1" w:styleId="HandbookLevel2Header">
    <w:name w:val="Handbook Level 2 Header"/>
    <w:basedOn w:val="Heading2"/>
    <w:autoRedefine/>
    <w:qFormat/>
    <w:rsid w:val="00FB21B3"/>
    <w:pPr>
      <w:pBdr>
        <w:top w:val="single" w:sz="4" w:space="1" w:color="E86D1F"/>
      </w:pBdr>
      <w:spacing w:after="240"/>
    </w:pPr>
    <w:rPr>
      <w:rFonts w:ascii="Arial Bold" w:hAnsi="Arial Bold"/>
      <w:color w:val="E86D1F"/>
      <w:sz w:val="20"/>
    </w:rPr>
  </w:style>
  <w:style w:type="character" w:styleId="FollowedHyperlink">
    <w:name w:val="FollowedHyperlink"/>
    <w:basedOn w:val="DefaultParagraphFont"/>
    <w:semiHidden/>
    <w:unhideWhenUsed/>
    <w:rsid w:val="00AD1E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rnet.defence.gov.au/casg/commercial/CommercialPolicyFramework/Pages/Handbooks.aspx" TargetMode="External"/><Relationship Id="rId12" Type="http://schemas.openxmlformats.org/officeDocument/2006/relationships/hyperlink" Target="http://www.cleanlanding.com/manuals/HCS/terms" TargetMode="Externa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drnet.defence.gov.au/casg/commercial/CommercialPolicyFramework/Pages/Handbooks.aspx"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Template>
  <TotalTime>251</TotalTime>
  <Pages>10</Pages>
  <Words>3155</Words>
  <Characters>17174</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ASDEFCON (Support)</vt:lpstr>
    </vt:vector>
  </TitlesOfParts>
  <Company>Department of Defence</Company>
  <LinksUpToDate>false</LinksUpToDate>
  <CharactersWithSpaces>20289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Attachment to Draft Conditions of Contract</dc:subject>
  <dc:creator>ASDEFCON and Contracting Initiatives</dc:creator>
  <cp:lastModifiedBy>Christian Uhrenfeldt</cp:lastModifiedBy>
  <cp:revision>18</cp:revision>
  <cp:lastPrinted>2019-04-08T03:07:00Z</cp:lastPrinted>
  <dcterms:created xsi:type="dcterms:W3CDTF">2019-04-01T00:29:00Z</dcterms:created>
  <dcterms:modified xsi:type="dcterms:W3CDTF">2021-10-07T04:49:00Z</dcterms:modified>
  <cp:category>PART 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BM24136674</vt:lpwstr>
  </property>
  <property fmtid="{D5CDD505-2E9C-101B-9397-08002B2CF9AE}" pid="4" name="Objective-Title">
    <vt:lpwstr>024_SPTV5.0_CATTG_TDSRSchedule</vt:lpwstr>
  </property>
  <property fmtid="{D5CDD505-2E9C-101B-9397-08002B2CF9AE}" pid="5" name="Objective-Comment">
    <vt:lpwstr/>
  </property>
  <property fmtid="{D5CDD505-2E9C-101B-9397-08002B2CF9AE}" pid="6" name="Objective-CreationStamp">
    <vt:filetime>2021-02-02T01:00:05Z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2021-10-07T04:48:39Z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04 Attachments to the Conditions of Contract</vt:lpwstr>
  </property>
  <property fmtid="{D5CDD505-2E9C-101B-9397-08002B2CF9AE}" pid="14" name="Objective-State">
    <vt:lpwstr>Being Edited</vt:lpwstr>
  </property>
  <property fmtid="{D5CDD505-2E9C-101B-9397-08002B2CF9AE}" pid="15" name="Objective-Version">
    <vt:lpwstr>0.3</vt:lpwstr>
  </property>
  <property fmtid="{D5CDD505-2E9C-101B-9397-08002B2CF9AE}" pid="16" name="Objective-VersionNumber">
    <vt:i4>3</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(Support)</vt:lpwstr>
  </property>
  <property fmtid="{D5CDD505-2E9C-101B-9397-08002B2CF9AE}" pid="23" name="Header_Right">
    <vt:lpwstr>PART 2</vt:lpwstr>
  </property>
  <property fmtid="{D5CDD505-2E9C-101B-9397-08002B2CF9AE}" pid="24" name="Classification">
    <vt:lpwstr>OFFICIAL</vt:lpwstr>
  </property>
  <property fmtid="{D5CDD505-2E9C-101B-9397-08002B2CF9AE}" pid="25" name="Footer_Left">
    <vt:lpwstr/>
  </property>
</Properties>
</file>