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541532" w14:textId="77777777" w:rsidR="00BC7040" w:rsidRPr="00EB0ED9" w:rsidRDefault="00BC7040" w:rsidP="00963E5D">
      <w:pPr>
        <w:pStyle w:val="ASDEFCONTitle"/>
      </w:pPr>
      <w:bookmarkStart w:id="0" w:name="_Toc3028317"/>
      <w:r w:rsidRPr="00EB0ED9">
        <w:t>FINANCIAL (CORE)</w:t>
      </w:r>
      <w:bookmarkEnd w:id="0"/>
    </w:p>
    <w:p w14:paraId="694624D0" w14:textId="480294D9" w:rsidR="00D25618" w:rsidRDefault="00D25618" w:rsidP="009D2572">
      <w:pPr>
        <w:pStyle w:val="ATTANNLV1-ASDEFCON"/>
      </w:pPr>
      <w:bookmarkStart w:id="1" w:name="_Ref525362960"/>
      <w:bookmarkStart w:id="2" w:name="_Toc3028318"/>
      <w:r>
        <w:t>TENDERED PRICING INFORMATION – GENERAL REQUIREMENTS</w:t>
      </w:r>
      <w:r w:rsidR="00283DA9">
        <w:t xml:space="preserve"> (Core)</w:t>
      </w:r>
    </w:p>
    <w:p w14:paraId="68A58255" w14:textId="0AFE1278" w:rsidR="00D25618" w:rsidRPr="00D25618" w:rsidRDefault="00D25618" w:rsidP="00D03B94">
      <w:pPr>
        <w:pStyle w:val="ATTANNReferencetoCOC"/>
        <w:rPr>
          <w:rFonts w:eastAsia="Calibri"/>
        </w:rPr>
      </w:pPr>
      <w:r w:rsidRPr="00D25618">
        <w:rPr>
          <w:rFonts w:eastAsia="Calibri"/>
        </w:rPr>
        <w:t>Draft COC reference: clause 7</w:t>
      </w:r>
      <w:r>
        <w:rPr>
          <w:rFonts w:eastAsia="Calibri"/>
        </w:rPr>
        <w:t xml:space="preserve"> and Attachment B</w:t>
      </w:r>
    </w:p>
    <w:p w14:paraId="4A4E3086" w14:textId="5A67A0B1" w:rsidR="00D25618" w:rsidRDefault="00D25618">
      <w:pPr>
        <w:pStyle w:val="NoteToDrafters-ASDEFCON"/>
      </w:pPr>
      <w:r>
        <w:t xml:space="preserve">Note to drafters:  The </w:t>
      </w:r>
      <w:r w:rsidR="00E1703D">
        <w:t>Microsoft Excel® workbook ‘Support</w:t>
      </w:r>
      <w:r>
        <w:t xml:space="preserve"> Pricing Workbook’ </w:t>
      </w:r>
      <w:r w:rsidR="00E1703D">
        <w:t>(SPTPW)</w:t>
      </w:r>
      <w:r>
        <w:t xml:space="preserve"> supporting this TDR D requires some pre-population by the </w:t>
      </w:r>
      <w:r w:rsidR="00F56505">
        <w:t xml:space="preserve">contract </w:t>
      </w:r>
      <w:r>
        <w:t>draft</w:t>
      </w:r>
      <w:r w:rsidR="00F56505">
        <w:t>ing</w:t>
      </w:r>
      <w:r>
        <w:t xml:space="preserve"> team before release of the RFT</w:t>
      </w:r>
      <w:r w:rsidRPr="00087A58">
        <w:t xml:space="preserve">. </w:t>
      </w:r>
      <w:r>
        <w:t xml:space="preserve"> Further, if the </w:t>
      </w:r>
      <w:r w:rsidR="00F56505">
        <w:t>drafting team</w:t>
      </w:r>
      <w:r>
        <w:t xml:space="preserve"> has changed the name of the Workbook, drafters will need to update the references to it in the clauses and notes to tenderers within this annex.</w:t>
      </w:r>
    </w:p>
    <w:p w14:paraId="34A85A06" w14:textId="1D7F2AF4" w:rsidR="00D25618" w:rsidRPr="00B77723" w:rsidRDefault="00D25618">
      <w:pPr>
        <w:pStyle w:val="NoteToTenderers-ASDEFCON"/>
      </w:pPr>
      <w:r>
        <w:t>Note to tenderers:  The</w:t>
      </w:r>
      <w:r w:rsidR="00E1703D">
        <w:t xml:space="preserve"> Microsoft Excel® workbook</w:t>
      </w:r>
      <w:r>
        <w:t xml:space="preserve"> ‘</w:t>
      </w:r>
      <w:r w:rsidR="00E1703D">
        <w:t>Support</w:t>
      </w:r>
      <w:r>
        <w:t xml:space="preserve"> Pricing Workbook’</w:t>
      </w:r>
      <w:r w:rsidR="00E1703D">
        <w:t xml:space="preserve"> (SPTPW)</w:t>
      </w:r>
      <w:r>
        <w:t xml:space="preserve"> supporting this TDR D is designed to collect information suitable </w:t>
      </w:r>
      <w:r w:rsidR="00C946DB">
        <w:t>for use as</w:t>
      </w:r>
      <w:r>
        <w:t xml:space="preserve"> the Annexes to Attachment B </w:t>
      </w:r>
      <w:r w:rsidR="00C946DB">
        <w:t>under any resultant</w:t>
      </w:r>
      <w:r>
        <w:t xml:space="preserve"> Contract, inform the </w:t>
      </w:r>
      <w:r w:rsidR="00F56505">
        <w:t>calculation of Australian Contract Expenditure</w:t>
      </w:r>
      <w:r>
        <w:t xml:space="preserve"> </w:t>
      </w:r>
      <w:r w:rsidR="00F56505">
        <w:t>(</w:t>
      </w:r>
      <w:r>
        <w:t>ACE</w:t>
      </w:r>
      <w:r w:rsidR="00F56505">
        <w:t>)</w:t>
      </w:r>
      <w:r>
        <w:t xml:space="preserve"> </w:t>
      </w:r>
      <w:r w:rsidR="00F56505">
        <w:t>percentages</w:t>
      </w:r>
      <w:r>
        <w:t xml:space="preserve">, and enable the Commonwealth to complete its financial </w:t>
      </w:r>
      <w:r w:rsidR="001B20C9">
        <w:t xml:space="preserve">evaluation </w:t>
      </w:r>
      <w:r>
        <w:t>of the tendered response</w:t>
      </w:r>
      <w:r w:rsidRPr="00087A58">
        <w:t>.</w:t>
      </w:r>
    </w:p>
    <w:p w14:paraId="06E03D3A" w14:textId="0FD4E604" w:rsidR="00BF11A0" w:rsidRDefault="00D25618" w:rsidP="00BF11A0">
      <w:pPr>
        <w:pStyle w:val="ATTANNLV2-ASDEFCON"/>
      </w:pPr>
      <w:r w:rsidRPr="00D25618">
        <w:t>Tenderers are to comp</w:t>
      </w:r>
      <w:bookmarkStart w:id="3" w:name="_GoBack"/>
      <w:bookmarkEnd w:id="3"/>
      <w:r w:rsidRPr="00D25618">
        <w:t>lete and submit tender pricing information within the M</w:t>
      </w:r>
      <w:r w:rsidR="00253AAC">
        <w:t>icrosoft</w:t>
      </w:r>
      <w:r w:rsidRPr="00D25618">
        <w:t xml:space="preserve"> Excel® Workbook titled ‘</w:t>
      </w:r>
      <w:r w:rsidR="00E1703D">
        <w:t>Support</w:t>
      </w:r>
      <w:r w:rsidRPr="00D25618">
        <w:t xml:space="preserve"> Pricing Workbook’ </w:t>
      </w:r>
      <w:r w:rsidR="00E1703D">
        <w:t xml:space="preserve">(SPTPW) </w:t>
      </w:r>
      <w:r w:rsidR="001B20C9">
        <w:t>included as an appendix to</w:t>
      </w:r>
      <w:r w:rsidRPr="00D25618">
        <w:t xml:space="preserve"> this Annex D.</w:t>
      </w:r>
    </w:p>
    <w:p w14:paraId="09F7CAAE" w14:textId="56350DB2" w:rsidR="00BF11A0" w:rsidRPr="00D25618" w:rsidRDefault="00BF11A0" w:rsidP="00011114">
      <w:pPr>
        <w:pStyle w:val="NoteToTenderers-ASDEFCON"/>
      </w:pPr>
      <w:r w:rsidRPr="004D1BA9">
        <w:t xml:space="preserve">Note to tenderers:  It is Defence policy that when </w:t>
      </w:r>
      <w:r>
        <w:t>any</w:t>
      </w:r>
      <w:r w:rsidRPr="004D1BA9">
        <w:t xml:space="preserve"> proportion of the total price that is payable in source currency is significant, the </w:t>
      </w:r>
      <w:r>
        <w:t>applicable portions of the C</w:t>
      </w:r>
      <w:r w:rsidRPr="004D1BA9">
        <w:t xml:space="preserve">ontract </w:t>
      </w:r>
      <w:r>
        <w:t>are</w:t>
      </w:r>
      <w:r w:rsidRPr="004D1BA9">
        <w:t xml:space="preserve"> to be </w:t>
      </w:r>
      <w:r>
        <w:t>priced</w:t>
      </w:r>
      <w:r w:rsidRPr="004D1BA9">
        <w:t xml:space="preserve"> in </w:t>
      </w:r>
      <w:r>
        <w:t xml:space="preserve">their respective </w:t>
      </w:r>
      <w:r w:rsidRPr="004D1BA9">
        <w:t>source currenc</w:t>
      </w:r>
      <w:r>
        <w:t>ies (see TDR D-</w:t>
      </w:r>
      <w:r>
        <w:fldChar w:fldCharType="begin"/>
      </w:r>
      <w:r>
        <w:instrText xml:space="preserve"> REF _Ref79502386 \r \h </w:instrText>
      </w:r>
      <w:r>
        <w:fldChar w:fldCharType="separate"/>
      </w:r>
      <w:r w:rsidR="00793ADB">
        <w:t>8</w:t>
      </w:r>
      <w:r>
        <w:fldChar w:fldCharType="end"/>
      </w:r>
      <w:r>
        <w:t>, ‘Adjustments’ for further information).</w:t>
      </w:r>
    </w:p>
    <w:p w14:paraId="2852C421" w14:textId="6441024A" w:rsidR="00BF11A0" w:rsidRPr="004D1BA9" w:rsidRDefault="00BF11A0" w:rsidP="00BF11A0">
      <w:pPr>
        <w:pStyle w:val="ATTANNLV2-ASDEFCON"/>
      </w:pPr>
      <w:r w:rsidRPr="004B5635">
        <w:t>Prices for tendered S</w:t>
      </w:r>
      <w:r>
        <w:t>ervice</w:t>
      </w:r>
      <w:r w:rsidRPr="004B5635">
        <w:t>s are to be stated in Australian dollars except for any portion of the S</w:t>
      </w:r>
      <w:r>
        <w:t>ervice</w:t>
      </w:r>
      <w:r w:rsidRPr="004B5635">
        <w:t xml:space="preserve">s to be imported from overseas, which is to be stated in foreign currency.  </w:t>
      </w:r>
      <w:r w:rsidRPr="004D1BA9">
        <w:t>Prices for tendered Services are to be stated on the basis that payments provided for under any resultant Contract will be subject to adjustment</w:t>
      </w:r>
      <w:r>
        <w:t>s</w:t>
      </w:r>
      <w:r w:rsidRPr="004D1BA9">
        <w:t xml:space="preserve"> </w:t>
      </w:r>
      <w:r w:rsidR="00892190">
        <w:t>as described at TDR-</w:t>
      </w:r>
      <w:r w:rsidR="00892190">
        <w:fldChar w:fldCharType="begin"/>
      </w:r>
      <w:r w:rsidR="00892190">
        <w:instrText xml:space="preserve"> REF _Ref82436983 \r \h </w:instrText>
      </w:r>
      <w:r w:rsidR="00892190">
        <w:fldChar w:fldCharType="separate"/>
      </w:r>
      <w:r w:rsidR="00793ADB">
        <w:t>8</w:t>
      </w:r>
      <w:r w:rsidR="00892190">
        <w:fldChar w:fldCharType="end"/>
      </w:r>
      <w:r w:rsidR="00892190">
        <w:t xml:space="preserve"> and in accordance with clause 7.4 of the COC</w:t>
      </w:r>
      <w:r w:rsidRPr="004D1BA9">
        <w:t>.</w:t>
      </w:r>
    </w:p>
    <w:p w14:paraId="15A1A92A" w14:textId="198524A6" w:rsidR="00D25618" w:rsidRDefault="00D25618">
      <w:pPr>
        <w:pStyle w:val="ATTANNLV2-ASDEFCON"/>
      </w:pPr>
      <w:r w:rsidRPr="004D1BA9">
        <w:t xml:space="preserve">Tendered prices </w:t>
      </w:r>
      <w:r w:rsidR="00A74D31">
        <w:t xml:space="preserve">(including rates for ad hoc Services) </w:t>
      </w:r>
      <w:r w:rsidRPr="004D1BA9">
        <w:t>are to be inclusive of all costs associated with providing the Services and carrying out all matters and doing all things necessary for the due and proper performance and completion of the proposed Contract</w:t>
      </w:r>
      <w:r>
        <w:t xml:space="preserve">.  </w:t>
      </w:r>
      <w:r w:rsidRPr="004D1BA9">
        <w:t>These include</w:t>
      </w:r>
      <w:r>
        <w:t xml:space="preserve"> (except where expressly stated otherwise)</w:t>
      </w:r>
      <w:r w:rsidRPr="004D1BA9">
        <w:t xml:space="preserve"> </w:t>
      </w:r>
      <w:r>
        <w:t>all l</w:t>
      </w:r>
      <w:r w:rsidRPr="00C650ED">
        <w:t>icence fees, royalty payments</w:t>
      </w:r>
      <w:r>
        <w:t>,</w:t>
      </w:r>
      <w:r w:rsidRPr="00C650ED">
        <w:t xml:space="preserve"> overseas taxes, duties and charges</w:t>
      </w:r>
      <w:r>
        <w:t>,</w:t>
      </w:r>
      <w:r w:rsidRPr="00C650ED">
        <w:t xml:space="preserve"> Australian (Federal, State and Local Government) taxes including GST, customs and other duties and charges </w:t>
      </w:r>
      <w:r>
        <w:t>and</w:t>
      </w:r>
      <w:r w:rsidRPr="004D1BA9">
        <w:t xml:space="preserve"> arranging customs clearance and services of representatives</w:t>
      </w:r>
      <w:r>
        <w:t>.</w:t>
      </w:r>
      <w:r w:rsidRPr="004D1BA9">
        <w:t xml:space="preserve"> Tenderers are not to include any contingency for exchange rate fluctuations in their tendered price</w:t>
      </w:r>
      <w:r>
        <w:t>.</w:t>
      </w:r>
    </w:p>
    <w:p w14:paraId="03C89974" w14:textId="77777777" w:rsidR="00AB74D6" w:rsidRDefault="00AB74D6" w:rsidP="00AB74D6">
      <w:pPr>
        <w:pStyle w:val="NoteToTenderers-ASDEFCON"/>
      </w:pPr>
      <w:r>
        <w:t>Note to tenderers:  The CASG Cost Principles can be found here:</w:t>
      </w:r>
    </w:p>
    <w:p w14:paraId="41B39975" w14:textId="2F8E9E21" w:rsidR="00AB74D6" w:rsidRDefault="006F19DE" w:rsidP="00AB74D6">
      <w:pPr>
        <w:pStyle w:val="NoteToTenderers-ASDEFCON"/>
      </w:pPr>
      <w:hyperlink r:id="rId8" w:history="1">
        <w:r w:rsidR="005E56FF">
          <w:rPr>
            <w:rStyle w:val="Hyperlink"/>
          </w:rPr>
          <w:t>https://www.defence.gov.au/business-industry/procurement/policies-guidelines-templates/cost-principles</w:t>
        </w:r>
      </w:hyperlink>
      <w:r w:rsidR="00AB74D6">
        <w:t>.</w:t>
      </w:r>
    </w:p>
    <w:p w14:paraId="2212FEB0" w14:textId="77777777" w:rsidR="00AB74D6" w:rsidRDefault="00AB74D6" w:rsidP="00AB74D6">
      <w:pPr>
        <w:pStyle w:val="NoteToTenderers-ASDEFCON"/>
      </w:pPr>
      <w:r>
        <w:t>The Australian Contract Expenditure (ACE) Measurement Rules can be found here:</w:t>
      </w:r>
    </w:p>
    <w:p w14:paraId="4DC16FF7" w14:textId="0D55217F" w:rsidR="00AB74D6" w:rsidRPr="00A57D5C" w:rsidRDefault="006F19DE" w:rsidP="00AB74D6">
      <w:pPr>
        <w:pStyle w:val="NoteToTenderers-ASDEFCON"/>
        <w:rPr>
          <w:rStyle w:val="Hyperlink"/>
        </w:rPr>
      </w:pPr>
      <w:hyperlink r:id="rId9" w:history="1">
        <w:r w:rsidR="005E56FF">
          <w:rPr>
            <w:rStyle w:val="Hyperlink"/>
          </w:rPr>
          <w:t>https://www.defence.gov.au/business-industry/procurement/policies-guidelines-templates/procurement-guidance</w:t>
        </w:r>
      </w:hyperlink>
      <w:r w:rsidR="00AB74D6">
        <w:t>.</w:t>
      </w:r>
    </w:p>
    <w:p w14:paraId="336A4771" w14:textId="77777777" w:rsidR="00D25618" w:rsidRDefault="00D25618" w:rsidP="00B96F83">
      <w:pPr>
        <w:pStyle w:val="ATTANNLV2-ASDEFCON"/>
      </w:pPr>
      <w:r w:rsidRPr="004D1BA9">
        <w:t>Tenderers are to apply</w:t>
      </w:r>
      <w:r>
        <w:t>:</w:t>
      </w:r>
    </w:p>
    <w:p w14:paraId="24DF58DE" w14:textId="77777777" w:rsidR="003B616B" w:rsidRDefault="00D25618" w:rsidP="00D03B94">
      <w:pPr>
        <w:pStyle w:val="ATTANNLV3-ASDEFCON"/>
      </w:pPr>
      <w:r w:rsidRPr="004D1BA9">
        <w:t xml:space="preserve"> the </w:t>
      </w:r>
      <w:r>
        <w:t>CASG</w:t>
      </w:r>
      <w:r w:rsidRPr="004D1BA9">
        <w:t xml:space="preserve"> Cost Principles when preparing tendered prices</w:t>
      </w:r>
      <w:r w:rsidR="003B616B">
        <w:t>; and</w:t>
      </w:r>
    </w:p>
    <w:p w14:paraId="5AC24CC4" w14:textId="3996CC7A" w:rsidR="00D25618" w:rsidRDefault="003B616B" w:rsidP="00D03B94">
      <w:pPr>
        <w:pStyle w:val="ATTANNLV3-ASDEFCON"/>
      </w:pPr>
      <w:r>
        <w:t>the Australian Contract Expenditure (ACE) Measurement Rules, when defining the ACE and Imported Contract Expenditure (ICE) within tendered prices</w:t>
      </w:r>
      <w:r w:rsidR="00712DC1">
        <w:t xml:space="preserve"> (noting </w:t>
      </w:r>
      <w:r w:rsidR="0056736E">
        <w:t xml:space="preserve">the use of </w:t>
      </w:r>
      <w:r w:rsidR="00712DC1">
        <w:t>alternate deeming rates as per TDR-</w:t>
      </w:r>
      <w:r w:rsidR="00793ADB">
        <w:fldChar w:fldCharType="begin"/>
      </w:r>
      <w:r w:rsidR="00793ADB">
        <w:instrText xml:space="preserve"> REF _Ref97809085 \r \h </w:instrText>
      </w:r>
      <w:r w:rsidR="00793ADB">
        <w:fldChar w:fldCharType="separate"/>
      </w:r>
      <w:r w:rsidR="00793ADB">
        <w:t>12</w:t>
      </w:r>
      <w:r w:rsidR="00793ADB">
        <w:fldChar w:fldCharType="end"/>
      </w:r>
      <w:r w:rsidR="00712DC1">
        <w:t>)</w:t>
      </w:r>
      <w:r>
        <w:t>.</w:t>
      </w:r>
    </w:p>
    <w:p w14:paraId="432BE987" w14:textId="77777777" w:rsidR="004B5635" w:rsidRPr="004D1BA9" w:rsidRDefault="004B5635" w:rsidP="004B5635">
      <w:pPr>
        <w:pStyle w:val="NoteToTenderers-ASDEFCON"/>
      </w:pPr>
      <w:r w:rsidRPr="004D1BA9">
        <w:t>Note to tenderers:  The successful tenderer will be responsible for ensuring that it is registered in accordance with the requirements of the GST Act (as amended)</w:t>
      </w:r>
      <w:r>
        <w:t xml:space="preserve">.  </w:t>
      </w:r>
      <w:r w:rsidRPr="004D1BA9">
        <w:t xml:space="preserve">Tenderers who are non-residents of Australia and are not currently registered for GST, are advised to obtain independent </w:t>
      </w:r>
      <w:r w:rsidRPr="004D1BA9">
        <w:lastRenderedPageBreak/>
        <w:t>advice on whether they will be required to be registered for GST purposes in accordance with the GST Act.</w:t>
      </w:r>
    </w:p>
    <w:p w14:paraId="06AAAFD8" w14:textId="51851E31" w:rsidR="004B5635" w:rsidRPr="004D1BA9" w:rsidRDefault="004B5635" w:rsidP="004B5635">
      <w:pPr>
        <w:pStyle w:val="NoteToTenderers-ASDEFCON"/>
      </w:pPr>
      <w:r w:rsidRPr="004D1BA9">
        <w:t>If a tenderer intends to exercise the option of appointing a resident agent to act on its behalf for GST purposes in accordance with clause 7.1</w:t>
      </w:r>
      <w:r>
        <w:t>3</w:t>
      </w:r>
      <w:r w:rsidRPr="004D1BA9">
        <w:t xml:space="preserve"> of the draft COC, tenderers are requested to provide the details of their proposed agent at TDR D-</w:t>
      </w:r>
      <w:r w:rsidR="00BB01BE">
        <w:fldChar w:fldCharType="begin"/>
      </w:r>
      <w:r w:rsidR="00BB01BE">
        <w:instrText xml:space="preserve"> REF _Ref82437265 \r \h </w:instrText>
      </w:r>
      <w:r w:rsidR="00BB01BE">
        <w:fldChar w:fldCharType="separate"/>
      </w:r>
      <w:r w:rsidR="00793ADB">
        <w:t>10</w:t>
      </w:r>
      <w:r w:rsidR="00BB01BE">
        <w:fldChar w:fldCharType="end"/>
      </w:r>
      <w:r w:rsidRPr="004D1BA9">
        <w:t>.</w:t>
      </w:r>
    </w:p>
    <w:p w14:paraId="5D28B61A" w14:textId="77777777" w:rsidR="004B5635" w:rsidRPr="004D1BA9" w:rsidRDefault="004B5635" w:rsidP="004B5635">
      <w:pPr>
        <w:pStyle w:val="NoteToTenderers-ASDEFCON"/>
      </w:pPr>
      <w:r w:rsidRPr="004D1BA9">
        <w:t>If the successful tenderer fails to quote an ABN in its dealings with the Commonwealth, the Commonwealth may be required to withhold a percentage of all payments under any resultant Contract in accordance with Australian taxation legislation.</w:t>
      </w:r>
    </w:p>
    <w:p w14:paraId="5B2C5FDF" w14:textId="0DF332E8" w:rsidR="004B5635" w:rsidRPr="004B5635" w:rsidRDefault="004B5635" w:rsidP="004B5635">
      <w:pPr>
        <w:pStyle w:val="ATTANNLV2-ASDEFCON"/>
      </w:pPr>
      <w:r w:rsidRPr="004B5635">
        <w:t>Tenderers are required to submit tender prices inclusive of all overseas taxes and charges and all Australian (Federal, State and Local Government) taxes including GST, duties and charges that are applicable at the Base Date.  For S</w:t>
      </w:r>
      <w:r w:rsidR="00C95836">
        <w:t>ervice</w:t>
      </w:r>
      <w:r w:rsidRPr="004B5635">
        <w:t>s on which GST will be payable, the tenderer is to indicate the amount of GST to be applied.</w:t>
      </w:r>
    </w:p>
    <w:p w14:paraId="5EBDE96B" w14:textId="64ADD459" w:rsidR="00BC7040" w:rsidRPr="00EB0ED9" w:rsidRDefault="005C3BC7">
      <w:pPr>
        <w:pStyle w:val="ATTANNLV1-ASDEFCON"/>
      </w:pPr>
      <w:bookmarkStart w:id="4" w:name="_Ref79675752"/>
      <w:r>
        <w:t>Proposed</w:t>
      </w:r>
      <w:r w:rsidR="004B5635">
        <w:t xml:space="preserve"> </w:t>
      </w:r>
      <w:r w:rsidR="00061795">
        <w:t>Mobilisation Payments</w:t>
      </w:r>
      <w:r w:rsidR="00061795" w:rsidRPr="00EB0ED9">
        <w:t xml:space="preserve"> </w:t>
      </w:r>
      <w:r>
        <w:t>and</w:t>
      </w:r>
      <w:r w:rsidR="00DB3AE2" w:rsidRPr="00EB0ED9">
        <w:t xml:space="preserve"> </w:t>
      </w:r>
      <w:r w:rsidR="00061795">
        <w:t xml:space="preserve">Milestone </w:t>
      </w:r>
      <w:r>
        <w:t>Payment</w:t>
      </w:r>
      <w:r w:rsidR="00DB3AE2" w:rsidRPr="00EB0ED9">
        <w:t xml:space="preserve"> </w:t>
      </w:r>
      <w:r>
        <w:t>Schedule</w:t>
      </w:r>
      <w:r w:rsidR="00BC7040" w:rsidRPr="00EB0ED9">
        <w:t xml:space="preserve"> (CORE)</w:t>
      </w:r>
      <w:bookmarkEnd w:id="1"/>
      <w:bookmarkEnd w:id="2"/>
      <w:bookmarkEnd w:id="4"/>
    </w:p>
    <w:p w14:paraId="6ABB7C9A" w14:textId="77777777" w:rsidR="00785BA7" w:rsidRPr="00D03B94" w:rsidRDefault="00F45FD8" w:rsidP="00D03B94">
      <w:pPr>
        <w:pStyle w:val="ATTANNReferencetoCOC"/>
        <w:rPr>
          <w:rFonts w:eastAsia="Calibri"/>
        </w:rPr>
      </w:pPr>
      <w:r w:rsidRPr="00EB0ED9">
        <w:rPr>
          <w:rFonts w:eastAsia="Calibri"/>
        </w:rPr>
        <w:t xml:space="preserve">Draft </w:t>
      </w:r>
      <w:r w:rsidR="005130EE" w:rsidRPr="00EB0ED9">
        <w:rPr>
          <w:rFonts w:eastAsia="Calibri"/>
        </w:rPr>
        <w:t>COC</w:t>
      </w:r>
      <w:r w:rsidRPr="00EB0ED9">
        <w:rPr>
          <w:rFonts w:eastAsia="Calibri"/>
        </w:rPr>
        <w:t xml:space="preserve"> reference: clause 7</w:t>
      </w:r>
      <w:r w:rsidR="00BF1BBD">
        <w:rPr>
          <w:rFonts w:eastAsia="Calibri"/>
        </w:rPr>
        <w:t xml:space="preserve"> and Attachment B</w:t>
      </w:r>
      <w:r w:rsidR="00785BA7" w:rsidRPr="00D03B94">
        <w:rPr>
          <w:rFonts w:eastAsia="Calibri"/>
        </w:rPr>
        <w:t xml:space="preserve"> </w:t>
      </w:r>
    </w:p>
    <w:p w14:paraId="7721D092" w14:textId="1B47C301" w:rsidR="00E00000" w:rsidRPr="00AE403E" w:rsidRDefault="00E00000" w:rsidP="00E00000">
      <w:pPr>
        <w:pStyle w:val="NoteToTenderers-ASDEFCON"/>
      </w:pPr>
      <w:r w:rsidRPr="003D10DC">
        <w:t xml:space="preserve">Note to tenderers:  </w:t>
      </w:r>
      <w:r w:rsidRPr="003D10DC">
        <w:rPr>
          <w:rFonts w:eastAsia="Calibri"/>
        </w:rPr>
        <w:t xml:space="preserve">A Mobilisation Payment will be considered by the Commonwealth </w:t>
      </w:r>
      <w:r w:rsidR="000179C5">
        <w:rPr>
          <w:rFonts w:eastAsia="Calibri"/>
        </w:rPr>
        <w:t>when</w:t>
      </w:r>
      <w:r w:rsidRPr="003D10DC">
        <w:rPr>
          <w:rFonts w:eastAsia="Calibri"/>
        </w:rPr>
        <w:t xml:space="preserve"> the tenderer can demonstrate that it is appropriate and represents value for money to the Commonwealth, such as </w:t>
      </w:r>
      <w:r w:rsidR="0028400E">
        <w:rPr>
          <w:rFonts w:eastAsia="Calibri"/>
        </w:rPr>
        <w:t xml:space="preserve">when required for </w:t>
      </w:r>
      <w:r w:rsidR="000179C5">
        <w:rPr>
          <w:rFonts w:eastAsia="Calibri"/>
        </w:rPr>
        <w:t xml:space="preserve">the </w:t>
      </w:r>
      <w:r w:rsidRPr="003D10DC">
        <w:rPr>
          <w:rFonts w:eastAsia="Calibri"/>
        </w:rPr>
        <w:t xml:space="preserve">building </w:t>
      </w:r>
      <w:r w:rsidR="000179C5">
        <w:rPr>
          <w:rFonts w:eastAsia="Calibri"/>
        </w:rPr>
        <w:t xml:space="preserve">of </w:t>
      </w:r>
      <w:r w:rsidR="00DA612B">
        <w:rPr>
          <w:rFonts w:eastAsia="Calibri"/>
        </w:rPr>
        <w:t xml:space="preserve">new </w:t>
      </w:r>
      <w:r w:rsidRPr="003D10DC">
        <w:rPr>
          <w:rFonts w:eastAsia="Calibri"/>
        </w:rPr>
        <w:t>support infrastructure.</w:t>
      </w:r>
    </w:p>
    <w:p w14:paraId="457B0C10" w14:textId="0F92B934" w:rsidR="00AE403E" w:rsidRDefault="00082D87" w:rsidP="000179C5">
      <w:pPr>
        <w:pStyle w:val="ATTANNLV2-ASDEFCON"/>
      </w:pPr>
      <w:r>
        <w:t>I</w:t>
      </w:r>
      <w:r w:rsidR="00800E1E">
        <w:t>f</w:t>
      </w:r>
      <w:r w:rsidR="00AE403E">
        <w:t xml:space="preserve"> Mobilisation Payment</w:t>
      </w:r>
      <w:r w:rsidR="00800E1E">
        <w:t>s</w:t>
      </w:r>
      <w:r w:rsidR="00AE403E">
        <w:t xml:space="preserve"> will be sought for any resultant Contract, </w:t>
      </w:r>
      <w:r>
        <w:t xml:space="preserve">tenderers are to </w:t>
      </w:r>
      <w:r w:rsidR="001B4FF5">
        <w:t>state</w:t>
      </w:r>
      <w:r w:rsidR="00AE403E">
        <w:t xml:space="preserve"> </w:t>
      </w:r>
      <w:r w:rsidR="00AE403E" w:rsidRPr="00933A41">
        <w:t>the amount, purpose</w:t>
      </w:r>
      <w:r>
        <w:t>(</w:t>
      </w:r>
      <w:r w:rsidR="00AE403E" w:rsidRPr="00933A41">
        <w:t>s</w:t>
      </w:r>
      <w:r>
        <w:t>)</w:t>
      </w:r>
      <w:r w:rsidR="00AE403E" w:rsidRPr="00933A41">
        <w:t xml:space="preserve"> of and date of </w:t>
      </w:r>
      <w:r w:rsidR="00AE403E">
        <w:t>the</w:t>
      </w:r>
      <w:r w:rsidR="00AE403E" w:rsidRPr="00933A41">
        <w:t xml:space="preserve"> proposed Mobilisation Payment</w:t>
      </w:r>
      <w:r w:rsidR="00AE403E">
        <w:t>s.</w:t>
      </w:r>
    </w:p>
    <w:p w14:paraId="47509DC1" w14:textId="2DE31EFD" w:rsidR="00785BA7" w:rsidRDefault="00785BA7" w:rsidP="00785BA7">
      <w:pPr>
        <w:pStyle w:val="NoteToDrafters-ASDEFCON"/>
      </w:pPr>
      <w:r w:rsidRPr="00EB0ED9">
        <w:t xml:space="preserve">Note to drafters:  Drafters should populate the </w:t>
      </w:r>
      <w:r>
        <w:t>‘Milestone</w:t>
      </w:r>
      <w:r w:rsidR="00F940E3">
        <w:t xml:space="preserve"> Schedule’ </w:t>
      </w:r>
      <w:r w:rsidR="00177596">
        <w:t>worksheet</w:t>
      </w:r>
      <w:r w:rsidRPr="004D1BA9">
        <w:t xml:space="preserve"> </w:t>
      </w:r>
      <w:r>
        <w:t xml:space="preserve">of the </w:t>
      </w:r>
      <w:r w:rsidR="00E1703D">
        <w:t>SPTPW</w:t>
      </w:r>
      <w:r w:rsidRPr="00EB0ED9">
        <w:t xml:space="preserve"> with </w:t>
      </w:r>
      <w:r w:rsidR="005327C6">
        <w:t>known Milestone</w:t>
      </w:r>
      <w:r w:rsidR="00C51031">
        <w:t>s, such as Operative Date</w:t>
      </w:r>
      <w:r>
        <w:t xml:space="preserve">.  </w:t>
      </w:r>
      <w:r w:rsidR="00C51031">
        <w:t xml:space="preserve">Drafters </w:t>
      </w:r>
      <w:r w:rsidR="00C51031" w:rsidRPr="002A29EA">
        <w:t xml:space="preserve">should </w:t>
      </w:r>
      <w:r w:rsidR="00C51031">
        <w:t>ensure consistency between the SPTPW and</w:t>
      </w:r>
      <w:r w:rsidR="00C51031" w:rsidRPr="002A29EA">
        <w:t xml:space="preserve"> the Milestones </w:t>
      </w:r>
      <w:r w:rsidR="00151196">
        <w:t xml:space="preserve">described </w:t>
      </w:r>
      <w:r w:rsidR="00C51031" w:rsidRPr="002A29EA">
        <w:t>in Attachment C.</w:t>
      </w:r>
      <w:r w:rsidR="00C51031">
        <w:t xml:space="preserve">  Attachment C</w:t>
      </w:r>
      <w:r w:rsidR="00C51031" w:rsidRPr="002A29EA">
        <w:t xml:space="preserve"> </w:t>
      </w:r>
      <w:r w:rsidR="00C51031">
        <w:t>is to list the Milestone d</w:t>
      </w:r>
      <w:r w:rsidR="00C51031" w:rsidRPr="002A29EA">
        <w:t>ate</w:t>
      </w:r>
      <w:r w:rsidR="00C51031">
        <w:t>, entry and exit criteria, and whether or not a Milestone will be</w:t>
      </w:r>
      <w:r w:rsidR="00396EDE">
        <w:t xml:space="preserve"> a</w:t>
      </w:r>
      <w:r w:rsidR="00C51031">
        <w:t xml:space="preserve"> Stop Payment Milestone</w:t>
      </w:r>
      <w:r w:rsidR="00C51031" w:rsidRPr="002A29EA">
        <w:t>.</w:t>
      </w:r>
      <w:r w:rsidR="00C51031">
        <w:t xml:space="preserve">  </w:t>
      </w:r>
    </w:p>
    <w:p w14:paraId="62B59CC7" w14:textId="78990D80" w:rsidR="009E6CF4" w:rsidRPr="00EB0ED9" w:rsidRDefault="009E6CF4" w:rsidP="00721D75">
      <w:pPr>
        <w:pStyle w:val="NoteToTenderers-ASDEFCON"/>
      </w:pPr>
      <w:r>
        <w:t xml:space="preserve">Note to tenderers: </w:t>
      </w:r>
      <w:r w:rsidR="00553B81">
        <w:t xml:space="preserve"> </w:t>
      </w:r>
      <w:r>
        <w:t>S</w:t>
      </w:r>
      <w:r w:rsidRPr="00BE19D0">
        <w:t xml:space="preserve">ubject to negotiations, </w:t>
      </w:r>
      <w:r w:rsidRPr="005E7E79">
        <w:rPr>
          <w:szCs w:val="20"/>
        </w:rPr>
        <w:t xml:space="preserve">the preferred tenderer’s </w:t>
      </w:r>
      <w:r>
        <w:rPr>
          <w:szCs w:val="20"/>
        </w:rPr>
        <w:t>Milestone Schedule details</w:t>
      </w:r>
      <w:r w:rsidRPr="005E7E79">
        <w:rPr>
          <w:szCs w:val="20"/>
        </w:rPr>
        <w:t xml:space="preserve"> </w:t>
      </w:r>
      <w:r w:rsidR="00641390">
        <w:t>will be included at</w:t>
      </w:r>
      <w:r w:rsidRPr="00BE19D0">
        <w:t xml:space="preserve"> </w:t>
      </w:r>
      <w:r w:rsidRPr="00721D75">
        <w:t xml:space="preserve">Annex </w:t>
      </w:r>
      <w:r w:rsidRPr="00007D33">
        <w:t>A</w:t>
      </w:r>
      <w:r w:rsidRPr="00BE19D0">
        <w:t xml:space="preserve"> to Attachment B to the </w:t>
      </w:r>
      <w:r>
        <w:t>COC</w:t>
      </w:r>
      <w:r w:rsidR="009B6119">
        <w:t>.</w:t>
      </w:r>
      <w:r w:rsidR="00AF5D66">
        <w:t xml:space="preserve">  </w:t>
      </w:r>
      <w:r w:rsidR="00007D33">
        <w:t>When</w:t>
      </w:r>
      <w:r w:rsidR="00C87531">
        <w:t xml:space="preserve"> </w:t>
      </w:r>
      <w:r w:rsidR="0079310E">
        <w:t xml:space="preserve">a </w:t>
      </w:r>
      <w:r w:rsidR="00C87531">
        <w:t>Milestone</w:t>
      </w:r>
      <w:r w:rsidR="0079310E">
        <w:t xml:space="preserve"> i</w:t>
      </w:r>
      <w:r w:rsidR="00C87531">
        <w:t xml:space="preserve">s used to identify </w:t>
      </w:r>
      <w:r w:rsidR="00007D33">
        <w:t xml:space="preserve">the start of </w:t>
      </w:r>
      <w:r w:rsidR="0079310E">
        <w:t xml:space="preserve">a </w:t>
      </w:r>
      <w:r w:rsidR="000C7E58">
        <w:t xml:space="preserve">pricing period (including Ramp Up </w:t>
      </w:r>
      <w:r w:rsidR="00C87531">
        <w:t>stage</w:t>
      </w:r>
      <w:r w:rsidR="000C7E58">
        <w:t>s)</w:t>
      </w:r>
      <w:r w:rsidR="00C87531">
        <w:t xml:space="preserve"> </w:t>
      </w:r>
      <w:r w:rsidR="00007D33">
        <w:t>for</w:t>
      </w:r>
      <w:r w:rsidR="00C87531">
        <w:t xml:space="preserve"> Recurring Services, tenderers should ensure consistency between the Milestone </w:t>
      </w:r>
      <w:r w:rsidR="00007D33">
        <w:t>criteria</w:t>
      </w:r>
      <w:r w:rsidR="003D2571">
        <w:t xml:space="preserve"> (draft Attachment C)</w:t>
      </w:r>
      <w:r w:rsidR="00007D33">
        <w:t xml:space="preserve"> </w:t>
      </w:r>
      <w:r w:rsidR="003D2571">
        <w:t xml:space="preserve">and the requirements </w:t>
      </w:r>
      <w:r w:rsidR="0079310E">
        <w:t>for commencing</w:t>
      </w:r>
      <w:r w:rsidR="00AF5D66">
        <w:t xml:space="preserve"> </w:t>
      </w:r>
      <w:r w:rsidR="00151196">
        <w:t xml:space="preserve">and providing </w:t>
      </w:r>
      <w:r w:rsidR="00AF5D66">
        <w:t>th</w:t>
      </w:r>
      <w:r w:rsidR="0079310E">
        <w:t>os</w:t>
      </w:r>
      <w:r w:rsidR="00AF5D66">
        <w:t>e</w:t>
      </w:r>
      <w:r w:rsidR="00C87531">
        <w:t xml:space="preserve"> Recurring Services </w:t>
      </w:r>
      <w:r w:rsidR="00641390">
        <w:t>(</w:t>
      </w:r>
      <w:r w:rsidR="0079310E">
        <w:t>as priced</w:t>
      </w:r>
      <w:r w:rsidR="00C87531">
        <w:t xml:space="preserve"> in response to TDR </w:t>
      </w:r>
      <w:r w:rsidR="00C87531" w:rsidRPr="003E191B">
        <w:t>D-</w:t>
      </w:r>
      <w:r w:rsidR="003E191B">
        <w:rPr>
          <w:highlight w:val="yellow"/>
        </w:rPr>
        <w:fldChar w:fldCharType="begin"/>
      </w:r>
      <w:r w:rsidR="003E191B">
        <w:instrText xml:space="preserve"> REF _Ref79502070 \r \h </w:instrText>
      </w:r>
      <w:r w:rsidR="003E191B">
        <w:rPr>
          <w:highlight w:val="yellow"/>
        </w:rPr>
      </w:r>
      <w:r w:rsidR="003E191B">
        <w:rPr>
          <w:highlight w:val="yellow"/>
        </w:rPr>
        <w:fldChar w:fldCharType="separate"/>
      </w:r>
      <w:r w:rsidR="00793ADB">
        <w:t>3</w:t>
      </w:r>
      <w:r w:rsidR="003E191B">
        <w:rPr>
          <w:highlight w:val="yellow"/>
        </w:rPr>
        <w:fldChar w:fldCharType="end"/>
      </w:r>
      <w:r w:rsidR="00641390">
        <w:t>)</w:t>
      </w:r>
      <w:r w:rsidR="00F40E86">
        <w:t>.</w:t>
      </w:r>
      <w:r w:rsidR="00487EFC">
        <w:t xml:space="preserve">  </w:t>
      </w:r>
    </w:p>
    <w:p w14:paraId="58663524" w14:textId="734B3E17" w:rsidR="00931EF0" w:rsidRDefault="00BC7040">
      <w:pPr>
        <w:pStyle w:val="ATTANNLV2-ASDEFCON"/>
      </w:pPr>
      <w:bookmarkStart w:id="5" w:name="_Ref79484116"/>
      <w:r w:rsidRPr="004D1BA9">
        <w:t xml:space="preserve">Tenderers </w:t>
      </w:r>
      <w:r w:rsidR="00390A92">
        <w:t xml:space="preserve">are to </w:t>
      </w:r>
      <w:r w:rsidR="00A75BD8">
        <w:t xml:space="preserve">provide a </w:t>
      </w:r>
      <w:r w:rsidR="00931EF0">
        <w:t xml:space="preserve">Milestone </w:t>
      </w:r>
      <w:r w:rsidR="00A75BD8">
        <w:t xml:space="preserve">schedule </w:t>
      </w:r>
      <w:r w:rsidR="00931EF0">
        <w:t xml:space="preserve">in </w:t>
      </w:r>
      <w:r w:rsidR="007224DA">
        <w:t>the form of</w:t>
      </w:r>
      <w:r w:rsidR="00A75BD8">
        <w:t xml:space="preserve"> </w:t>
      </w:r>
      <w:r w:rsidR="00390A92">
        <w:t>the ‘Milestone</w:t>
      </w:r>
      <w:r w:rsidR="000A6773">
        <w:t xml:space="preserve"> Schedule’ </w:t>
      </w:r>
      <w:r w:rsidR="00722351">
        <w:t>worksheet</w:t>
      </w:r>
      <w:r w:rsidR="00390A92" w:rsidRPr="004D1BA9">
        <w:t xml:space="preserve"> </w:t>
      </w:r>
      <w:r w:rsidR="00390A92">
        <w:t xml:space="preserve">of the </w:t>
      </w:r>
      <w:r w:rsidR="00E1703D">
        <w:t>SPTPW</w:t>
      </w:r>
      <w:r w:rsidR="00931EF0">
        <w:t xml:space="preserve"> that includes:</w:t>
      </w:r>
    </w:p>
    <w:p w14:paraId="08BE5F03" w14:textId="1A4D6AE5" w:rsidR="00931EF0" w:rsidRDefault="002E21FF" w:rsidP="007224DA">
      <w:pPr>
        <w:pStyle w:val="ATTANNLV3-ASDEFCON"/>
      </w:pPr>
      <w:r>
        <w:t xml:space="preserve">for the identified Milestones, </w:t>
      </w:r>
      <w:r w:rsidR="00931EF0">
        <w:t>the amount</w:t>
      </w:r>
      <w:r>
        <w:t xml:space="preserve"> </w:t>
      </w:r>
      <w:r w:rsidR="00931EF0">
        <w:t>of each</w:t>
      </w:r>
      <w:r w:rsidR="00931EF0" w:rsidRPr="00BE19D0">
        <w:t xml:space="preserve"> proposed Milestone Payment</w:t>
      </w:r>
      <w:r w:rsidRPr="002E21FF">
        <w:t xml:space="preserve"> </w:t>
      </w:r>
      <w:r>
        <w:t>in applicable</w:t>
      </w:r>
      <w:r w:rsidRPr="002E21FF">
        <w:t xml:space="preserve"> </w:t>
      </w:r>
      <w:r>
        <w:t xml:space="preserve">source currencies, or </w:t>
      </w:r>
      <w:r w:rsidR="00546E8C">
        <w:t xml:space="preserve">a zero amount </w:t>
      </w:r>
      <w:r>
        <w:t>if the</w:t>
      </w:r>
      <w:r w:rsidR="00546E8C">
        <w:t>re</w:t>
      </w:r>
      <w:r>
        <w:t xml:space="preserve"> is </w:t>
      </w:r>
      <w:r w:rsidR="00546E8C">
        <w:t>no Milestone P</w:t>
      </w:r>
      <w:r w:rsidR="007224DA">
        <w:t>ayment</w:t>
      </w:r>
      <w:r>
        <w:t xml:space="preserve"> (ie, </w:t>
      </w:r>
      <w:r w:rsidR="00546E8C">
        <w:t>the Milestone</w:t>
      </w:r>
      <w:r>
        <w:t xml:space="preserve"> </w:t>
      </w:r>
      <w:r w:rsidR="00546E8C">
        <w:t xml:space="preserve">only </w:t>
      </w:r>
      <w:r>
        <w:t>identif</w:t>
      </w:r>
      <w:r w:rsidR="00546E8C">
        <w:t>ies</w:t>
      </w:r>
      <w:r>
        <w:t xml:space="preserve"> </w:t>
      </w:r>
      <w:r w:rsidR="00151196">
        <w:t xml:space="preserve">the start of </w:t>
      </w:r>
      <w:r w:rsidR="00546E8C">
        <w:t>a payment period</w:t>
      </w:r>
      <w:r>
        <w:t xml:space="preserve"> for Recurring Services Fees)</w:t>
      </w:r>
      <w:r w:rsidR="00931EF0">
        <w:t>; and</w:t>
      </w:r>
    </w:p>
    <w:p w14:paraId="00C575AD" w14:textId="26851198" w:rsidR="00390A92" w:rsidRDefault="00931EF0" w:rsidP="007224DA">
      <w:pPr>
        <w:pStyle w:val="ATTANNLV3-ASDEFCON"/>
      </w:pPr>
      <w:r>
        <w:t xml:space="preserve">any </w:t>
      </w:r>
      <w:r w:rsidR="002E21FF">
        <w:t>additional</w:t>
      </w:r>
      <w:r>
        <w:t xml:space="preserve"> proposed Milestones</w:t>
      </w:r>
      <w:r w:rsidR="007224DA">
        <w:t xml:space="preserve">, with </w:t>
      </w:r>
      <w:r>
        <w:t>corresponding details</w:t>
      </w:r>
      <w:r w:rsidR="009D2572">
        <w:t>.</w:t>
      </w:r>
      <w:bookmarkEnd w:id="5"/>
    </w:p>
    <w:p w14:paraId="260398A8" w14:textId="1DF7FB92" w:rsidR="007224DA" w:rsidRDefault="007224DA" w:rsidP="007224DA">
      <w:pPr>
        <w:pStyle w:val="NoteToTenderers-ASDEFCON"/>
      </w:pPr>
      <w:r>
        <w:t xml:space="preserve">Note to tenderers: </w:t>
      </w:r>
      <w:r w:rsidR="009116E1">
        <w:t xml:space="preserve"> Subject to negotiations, t</w:t>
      </w:r>
      <w:r>
        <w:t>he successful tenderer’s response to clause </w:t>
      </w:r>
      <w:r w:rsidR="00AA4B4F">
        <w:fldChar w:fldCharType="begin"/>
      </w:r>
      <w:r w:rsidR="00AA4B4F">
        <w:instrText xml:space="preserve"> REF _Ref83386322 \r \h </w:instrText>
      </w:r>
      <w:r w:rsidR="00AA4B4F">
        <w:fldChar w:fldCharType="separate"/>
      </w:r>
      <w:r w:rsidR="00793ADB">
        <w:t>2.3</w:t>
      </w:r>
      <w:r w:rsidR="00AA4B4F">
        <w:fldChar w:fldCharType="end"/>
      </w:r>
      <w:r w:rsidR="00AA4B4F">
        <w:t xml:space="preserve"> </w:t>
      </w:r>
      <w:r>
        <w:t>will be incorporated into Attachment C (Delivery Schedule) to the draft COC.</w:t>
      </w:r>
    </w:p>
    <w:p w14:paraId="0086C817" w14:textId="77777777" w:rsidR="00AA4B4F" w:rsidRDefault="00390A92" w:rsidP="00AA4B4F">
      <w:pPr>
        <w:pStyle w:val="ATTANNLV2-ASDEFCON"/>
      </w:pPr>
      <w:bookmarkStart w:id="6" w:name="_Ref83386494"/>
      <w:bookmarkStart w:id="7" w:name="_Ref83386322"/>
      <w:r>
        <w:t>Tenderers</w:t>
      </w:r>
      <w:r w:rsidRPr="004D1BA9">
        <w:t xml:space="preserve"> </w:t>
      </w:r>
      <w:r w:rsidR="004109A4" w:rsidRPr="004D1BA9">
        <w:t>are to</w:t>
      </w:r>
      <w:r w:rsidR="00BC7040" w:rsidRPr="004D1BA9">
        <w:t xml:space="preserve"> </w:t>
      </w:r>
      <w:r w:rsidR="00AA4B4F">
        <w:t>provide a proposed update to Attachment C to the draft COC (Delivery Schedule), which:</w:t>
      </w:r>
      <w:bookmarkEnd w:id="6"/>
    </w:p>
    <w:p w14:paraId="4DB6CD4E" w14:textId="77777777" w:rsidR="00AA4B4F" w:rsidRDefault="00AA4B4F" w:rsidP="00AA4B4F">
      <w:pPr>
        <w:pStyle w:val="ATTANNLV3-ASDEFCON"/>
      </w:pPr>
      <w:r>
        <w:t>is consistent with the Statement of Non-Compliance at TDR A</w:t>
      </w:r>
      <w:r>
        <w:noBreakHyphen/>
        <w:t>4;</w:t>
      </w:r>
    </w:p>
    <w:p w14:paraId="78EF16F4" w14:textId="77777777" w:rsidR="00AA4B4F" w:rsidRDefault="00AA4B4F" w:rsidP="00AA4B4F">
      <w:pPr>
        <w:pStyle w:val="ATTANNLV3-ASDEFCON"/>
      </w:pPr>
      <w:r>
        <w:t>identifies any additional Milestones proposed by the tenderer;</w:t>
      </w:r>
    </w:p>
    <w:p w14:paraId="07509058" w14:textId="77777777" w:rsidR="00AA4B4F" w:rsidRDefault="00AA4B4F" w:rsidP="00AA4B4F">
      <w:pPr>
        <w:pStyle w:val="ATTANNLV3-ASDEFCON"/>
      </w:pPr>
      <w:r>
        <w:t>provides the information for each Milestone required by Attachment C, including the proposed entry and exit criteria; and</w:t>
      </w:r>
    </w:p>
    <w:p w14:paraId="38BE43A1" w14:textId="7F4A2B51" w:rsidR="00AA4B4F" w:rsidRDefault="00AA4B4F" w:rsidP="00AA4B4F">
      <w:pPr>
        <w:pStyle w:val="ATTANNLV3-ASDEFCON"/>
      </w:pPr>
      <w:r>
        <w:t>is consistent with the list of Milestones included in the ‘Milestone Schedule’ worksheet of the SPTPW and any Milestones as set out in Attachment D to the draft COC.</w:t>
      </w:r>
    </w:p>
    <w:bookmarkEnd w:id="7"/>
    <w:p w14:paraId="757D5AD5" w14:textId="17278419" w:rsidR="0059429E" w:rsidRDefault="000B308B" w:rsidP="00C67FBF">
      <w:pPr>
        <w:pStyle w:val="ATTANNLV2-ASDEFCON"/>
      </w:pPr>
      <w:r>
        <w:t>Whe</w:t>
      </w:r>
      <w:r w:rsidR="0059429E">
        <w:t xml:space="preserve">n completing the </w:t>
      </w:r>
      <w:r>
        <w:t>‘</w:t>
      </w:r>
      <w:r w:rsidR="0059429E">
        <w:t>Milestone Schedule</w:t>
      </w:r>
      <w:r>
        <w:t>’</w:t>
      </w:r>
      <w:r w:rsidR="0059429E">
        <w:t xml:space="preserve"> </w:t>
      </w:r>
      <w:r>
        <w:t xml:space="preserve">worksheet </w:t>
      </w:r>
      <w:r w:rsidR="00AA4B4F">
        <w:t xml:space="preserve">and Attachment C, as </w:t>
      </w:r>
      <w:r w:rsidR="0059429E">
        <w:t>required by clause</w:t>
      </w:r>
      <w:r w:rsidR="00AA4B4F">
        <w:t>s</w:t>
      </w:r>
      <w:r w:rsidR="0059429E">
        <w:t xml:space="preserve"> </w:t>
      </w:r>
      <w:r w:rsidR="0059429E">
        <w:fldChar w:fldCharType="begin"/>
      </w:r>
      <w:r w:rsidR="0059429E">
        <w:instrText xml:space="preserve"> REF _Ref79484116 \r \h </w:instrText>
      </w:r>
      <w:r w:rsidR="0059429E">
        <w:fldChar w:fldCharType="separate"/>
      </w:r>
      <w:r w:rsidR="00793ADB">
        <w:t>2.2</w:t>
      </w:r>
      <w:r w:rsidR="0059429E">
        <w:fldChar w:fldCharType="end"/>
      </w:r>
      <w:r w:rsidR="00AA4B4F">
        <w:t xml:space="preserve"> and </w:t>
      </w:r>
      <w:r w:rsidR="00AA4B4F">
        <w:fldChar w:fldCharType="begin"/>
      </w:r>
      <w:r w:rsidR="00AA4B4F">
        <w:instrText xml:space="preserve"> REF _Ref83386494 \r \h </w:instrText>
      </w:r>
      <w:r w:rsidR="00AA4B4F">
        <w:fldChar w:fldCharType="separate"/>
      </w:r>
      <w:r w:rsidR="00793ADB">
        <w:t>2.3</w:t>
      </w:r>
      <w:r w:rsidR="00AA4B4F">
        <w:fldChar w:fldCharType="end"/>
      </w:r>
      <w:r w:rsidR="00145F7A">
        <w:t xml:space="preserve"> respectively</w:t>
      </w:r>
      <w:r w:rsidR="0059429E">
        <w:t xml:space="preserve">, </w:t>
      </w:r>
      <w:r w:rsidR="00C67FBF">
        <w:t xml:space="preserve">tenderers </w:t>
      </w:r>
      <w:r w:rsidR="0059429E">
        <w:t>are to:</w:t>
      </w:r>
    </w:p>
    <w:p w14:paraId="372721B6" w14:textId="1ECD6C61" w:rsidR="00DB517C" w:rsidRDefault="00DB517C" w:rsidP="00C67FBF">
      <w:pPr>
        <w:pStyle w:val="ATTANNLV3-ASDEFCON"/>
      </w:pPr>
      <w:r>
        <w:t xml:space="preserve">if </w:t>
      </w:r>
      <w:r w:rsidR="003216FF">
        <w:t>a</w:t>
      </w:r>
      <w:r w:rsidR="00721D75">
        <w:t xml:space="preserve"> </w:t>
      </w:r>
      <w:r w:rsidR="000B308B">
        <w:t xml:space="preserve">proposed </w:t>
      </w:r>
      <w:r>
        <w:t>Milestone</w:t>
      </w:r>
      <w:r w:rsidR="00721D75">
        <w:t xml:space="preserve"> </w:t>
      </w:r>
      <w:r w:rsidR="001D5E68">
        <w:t xml:space="preserve">date </w:t>
      </w:r>
      <w:r w:rsidR="00721D75">
        <w:t>i</w:t>
      </w:r>
      <w:r>
        <w:t xml:space="preserve">s </w:t>
      </w:r>
      <w:r w:rsidR="000B308B">
        <w:t xml:space="preserve">considered </w:t>
      </w:r>
      <w:r>
        <w:t xml:space="preserve">unsuitable </w:t>
      </w:r>
      <w:r w:rsidR="00AB1B45">
        <w:t xml:space="preserve">or if no date is proposed, </w:t>
      </w:r>
      <w:r>
        <w:t xml:space="preserve">identify </w:t>
      </w:r>
      <w:r w:rsidR="00C37C13">
        <w:t>a</w:t>
      </w:r>
      <w:r w:rsidR="00721D75">
        <w:t xml:space="preserve"> preferred</w:t>
      </w:r>
      <w:r w:rsidRPr="004D1BA9">
        <w:t xml:space="preserve"> </w:t>
      </w:r>
      <w:r w:rsidR="00AA4B4F">
        <w:t xml:space="preserve">or best </w:t>
      </w:r>
      <w:r w:rsidRPr="004D1BA9">
        <w:t xml:space="preserve">date </w:t>
      </w:r>
      <w:r>
        <w:t xml:space="preserve">for </w:t>
      </w:r>
      <w:r w:rsidR="00C37C13">
        <w:t>achieving th</w:t>
      </w:r>
      <w:r w:rsidR="00641390">
        <w:t>e</w:t>
      </w:r>
      <w:r w:rsidR="00C37C13">
        <w:t xml:space="preserve"> </w:t>
      </w:r>
      <w:r>
        <w:t>Milestone</w:t>
      </w:r>
      <w:r w:rsidR="00145F7A">
        <w:t>,</w:t>
      </w:r>
      <w:r w:rsidRPr="004D1BA9">
        <w:t xml:space="preserve"> </w:t>
      </w:r>
      <w:r w:rsidR="00AA4B4F">
        <w:t>having regard to other commitments</w:t>
      </w:r>
      <w:r w:rsidR="00721D75">
        <w:t>;</w:t>
      </w:r>
    </w:p>
    <w:p w14:paraId="24CEEE83" w14:textId="30ECDC95" w:rsidR="00FF77FC" w:rsidRDefault="002903D5" w:rsidP="00C67FBF">
      <w:pPr>
        <w:pStyle w:val="ATTANNLV3-ASDEFCON"/>
      </w:pPr>
      <w:r>
        <w:lastRenderedPageBreak/>
        <w:t xml:space="preserve">propose </w:t>
      </w:r>
      <w:r w:rsidR="00C67FBF">
        <w:t>additional</w:t>
      </w:r>
      <w:r w:rsidRPr="00EB0ED9">
        <w:t xml:space="preserve"> Milestones</w:t>
      </w:r>
      <w:r w:rsidR="00721D75">
        <w:t xml:space="preserve"> </w:t>
      </w:r>
      <w:r w:rsidR="00641390">
        <w:t>as</w:t>
      </w:r>
      <w:r w:rsidR="003216FF">
        <w:t xml:space="preserve"> may be </w:t>
      </w:r>
      <w:r w:rsidR="00721D75">
        <w:t>required</w:t>
      </w:r>
      <w:r w:rsidR="001D5E68">
        <w:t xml:space="preserve">, </w:t>
      </w:r>
      <w:r w:rsidR="00C67FBF">
        <w:t>and</w:t>
      </w:r>
      <w:r>
        <w:t xml:space="preserve"> further describe</w:t>
      </w:r>
      <w:r w:rsidRPr="00EB0ED9">
        <w:t xml:space="preserve"> </w:t>
      </w:r>
      <w:r>
        <w:t>these within the RFT response</w:t>
      </w:r>
      <w:r w:rsidRPr="00EB0ED9">
        <w:t xml:space="preserve"> </w:t>
      </w:r>
      <w:r>
        <w:t>(</w:t>
      </w:r>
      <w:r w:rsidRPr="00EB0ED9">
        <w:t>including within draft plans and/or schedules, as applicable</w:t>
      </w:r>
      <w:r>
        <w:t>)</w:t>
      </w:r>
      <w:r w:rsidR="00390A92">
        <w:t>;</w:t>
      </w:r>
      <w:r w:rsidR="00721D75">
        <w:t xml:space="preserve"> and</w:t>
      </w:r>
    </w:p>
    <w:p w14:paraId="72C758DF" w14:textId="451A6872" w:rsidR="00DA612B" w:rsidRDefault="00102093" w:rsidP="001D5E68">
      <w:pPr>
        <w:pStyle w:val="ATTANNLV3-ASDEFCON"/>
      </w:pPr>
      <w:r>
        <w:t xml:space="preserve">if </w:t>
      </w:r>
      <w:r w:rsidR="00860964">
        <w:t>a</w:t>
      </w:r>
      <w:r w:rsidR="002903D5">
        <w:t xml:space="preserve"> Milestone </w:t>
      </w:r>
      <w:r w:rsidR="00546E8C">
        <w:t xml:space="preserve">is </w:t>
      </w:r>
      <w:r w:rsidR="002903D5">
        <w:t xml:space="preserve">used to </w:t>
      </w:r>
      <w:r w:rsidR="0010090B">
        <w:t xml:space="preserve">designate the start of a payment period </w:t>
      </w:r>
      <w:r w:rsidR="00546E8C">
        <w:t xml:space="preserve">in Recurring Services </w:t>
      </w:r>
      <w:r w:rsidR="0010090B">
        <w:t>(eg, a</w:t>
      </w:r>
      <w:r w:rsidR="0010090B" w:rsidRPr="0010090B">
        <w:t xml:space="preserve"> </w:t>
      </w:r>
      <w:r w:rsidR="002903D5">
        <w:t xml:space="preserve">stage </w:t>
      </w:r>
      <w:r w:rsidR="0010090B">
        <w:t>in Ramp Up for</w:t>
      </w:r>
      <w:r w:rsidR="002903D5">
        <w:t xml:space="preserve"> Core Services </w:t>
      </w:r>
      <w:r w:rsidR="001B00D0">
        <w:t>or</w:t>
      </w:r>
      <w:r w:rsidR="002903D5">
        <w:t xml:space="preserve"> Excluded Services</w:t>
      </w:r>
      <w:r w:rsidR="00546E8C">
        <w:t>),</w:t>
      </w:r>
      <w:r w:rsidR="000C4451">
        <w:t xml:space="preserve"> detail the Milestone entry – exit criteria </w:t>
      </w:r>
      <w:r w:rsidR="00860964">
        <w:t>that will enable</w:t>
      </w:r>
      <w:r w:rsidR="000C4451">
        <w:t xml:space="preserve"> progression </w:t>
      </w:r>
      <w:r w:rsidR="00860964">
        <w:t>to that</w:t>
      </w:r>
      <w:r w:rsidR="000C4451">
        <w:t xml:space="preserve"> payment period</w:t>
      </w:r>
      <w:r w:rsidR="009D2572" w:rsidRPr="00E25C3C">
        <w:t>.</w:t>
      </w:r>
      <w:bookmarkStart w:id="8" w:name="_Ref79488978"/>
    </w:p>
    <w:p w14:paraId="7BE5C294" w14:textId="0635A959" w:rsidR="00785BA7" w:rsidRDefault="00DA612B" w:rsidP="00C31492">
      <w:pPr>
        <w:pStyle w:val="ATTANNLV1-ASDEFCON"/>
      </w:pPr>
      <w:bookmarkStart w:id="9" w:name="_Ref79502070"/>
      <w:r>
        <w:t>Proposed Recurring Services Fees (Core)</w:t>
      </w:r>
      <w:bookmarkEnd w:id="8"/>
      <w:bookmarkEnd w:id="9"/>
    </w:p>
    <w:p w14:paraId="405E5651" w14:textId="1E939EE0" w:rsidR="00390A92" w:rsidRPr="00EB0ED9" w:rsidRDefault="00390A92" w:rsidP="00F940E3">
      <w:pPr>
        <w:pStyle w:val="NoteToDrafters-ASDEFCON"/>
      </w:pPr>
      <w:r w:rsidRPr="00EB0ED9">
        <w:t xml:space="preserve">Note to drafters:  </w:t>
      </w:r>
      <w:r w:rsidR="00390B4C">
        <w:t xml:space="preserve">Drafters should develop </w:t>
      </w:r>
      <w:r>
        <w:t>the ‘Core Services’</w:t>
      </w:r>
      <w:r w:rsidR="00390B4C">
        <w:t xml:space="preserve"> </w:t>
      </w:r>
      <w:r w:rsidR="00581570">
        <w:t>worksheets</w:t>
      </w:r>
      <w:r>
        <w:t xml:space="preserve"> of the </w:t>
      </w:r>
      <w:r w:rsidR="00E1703D">
        <w:t>SPTPW</w:t>
      </w:r>
      <w:r>
        <w:t xml:space="preserve"> </w:t>
      </w:r>
      <w:r w:rsidRPr="00EB0ED9">
        <w:t>to provide a suitable</w:t>
      </w:r>
      <w:r w:rsidR="00776782">
        <w:t xml:space="preserve"> high-level</w:t>
      </w:r>
      <w:r w:rsidRPr="00EB0ED9">
        <w:t xml:space="preserve"> breakdown of the Core Services Fee </w:t>
      </w:r>
      <w:r w:rsidR="00776782">
        <w:t>for</w:t>
      </w:r>
      <w:r w:rsidRPr="00EB0ED9">
        <w:t xml:space="preserve"> each </w:t>
      </w:r>
      <w:r w:rsidR="00776782">
        <w:t xml:space="preserve">expected </w:t>
      </w:r>
      <w:r w:rsidR="00481A00">
        <w:t xml:space="preserve">pricing period (including any expected Ramp Up </w:t>
      </w:r>
      <w:r w:rsidRPr="00EB0ED9">
        <w:t>stage</w:t>
      </w:r>
      <w:r w:rsidR="00860964">
        <w:t>s</w:t>
      </w:r>
      <w:r w:rsidR="00481A00">
        <w:t>)</w:t>
      </w:r>
      <w:r w:rsidRPr="00EB0ED9">
        <w:t xml:space="preserve"> </w:t>
      </w:r>
      <w:r w:rsidR="00860964">
        <w:t>during</w:t>
      </w:r>
      <w:r w:rsidR="00860964" w:rsidRPr="00EB0ED9">
        <w:t xml:space="preserve"> </w:t>
      </w:r>
      <w:r w:rsidRPr="00EB0ED9">
        <w:t xml:space="preserve">the </w:t>
      </w:r>
      <w:r w:rsidR="00481A00">
        <w:t xml:space="preserve">Initial </w:t>
      </w:r>
      <w:r w:rsidRPr="00390A92">
        <w:rPr>
          <w:rFonts w:ascii="Arial Bold" w:hAnsi="Arial Bold"/>
        </w:rPr>
        <w:t>T</w:t>
      </w:r>
      <w:r w:rsidRPr="00EB0ED9">
        <w:t>erm</w:t>
      </w:r>
      <w:r>
        <w:t>.</w:t>
      </w:r>
    </w:p>
    <w:p w14:paraId="4680D1EC" w14:textId="1D2C496D" w:rsidR="00390A92" w:rsidRDefault="00390A92">
      <w:pPr>
        <w:pStyle w:val="ATTANNLV2-ASDEFCON"/>
      </w:pPr>
      <w:bookmarkStart w:id="10" w:name="_Ref79410096"/>
      <w:r>
        <w:rPr>
          <w:b/>
        </w:rPr>
        <w:t>Core Services Fee</w:t>
      </w:r>
      <w:r w:rsidR="00752936">
        <w:rPr>
          <w:b/>
        </w:rPr>
        <w:t xml:space="preserve">. </w:t>
      </w:r>
      <w:r>
        <w:t xml:space="preserve"> </w:t>
      </w:r>
      <w:r w:rsidRPr="004D1BA9">
        <w:t xml:space="preserve">Tenderers </w:t>
      </w:r>
      <w:r>
        <w:t xml:space="preserve">are to complete the ‘Core Services’ </w:t>
      </w:r>
      <w:r w:rsidR="00C946DB">
        <w:t>worksheets</w:t>
      </w:r>
      <w:r w:rsidRPr="004D1BA9">
        <w:t xml:space="preserve"> </w:t>
      </w:r>
      <w:r>
        <w:t xml:space="preserve">of the </w:t>
      </w:r>
      <w:r w:rsidR="00E1703D">
        <w:t>SPTPW</w:t>
      </w:r>
      <w:r w:rsidR="00776782">
        <w:t>,</w:t>
      </w:r>
      <w:r w:rsidR="00E00000">
        <w:t xml:space="preserve"> </w:t>
      </w:r>
      <w:r w:rsidR="004E1066">
        <w:t xml:space="preserve">from commencement of these fees </w:t>
      </w:r>
      <w:r w:rsidR="00776782">
        <w:t xml:space="preserve">until the completion of the </w:t>
      </w:r>
      <w:r w:rsidR="00E00000">
        <w:t>Initial Term of the draft Contract</w:t>
      </w:r>
      <w:r>
        <w:t>.</w:t>
      </w:r>
      <w:bookmarkEnd w:id="10"/>
    </w:p>
    <w:p w14:paraId="5DDFBCDB" w14:textId="3745F056" w:rsidR="00CF16FA" w:rsidRDefault="00CF16FA" w:rsidP="00DE270B">
      <w:pPr>
        <w:pStyle w:val="NoteToTenderers-ASDEFCON"/>
      </w:pPr>
      <w:r>
        <w:t xml:space="preserve">Note to tenderers:  A separate worksheet is required for </w:t>
      </w:r>
      <w:r w:rsidR="00152CA2">
        <w:t xml:space="preserve">Core Services </w:t>
      </w:r>
      <w:r w:rsidR="00537276">
        <w:t>for</w:t>
      </w:r>
      <w:r w:rsidR="00C31492">
        <w:t xml:space="preserve"> each </w:t>
      </w:r>
      <w:r w:rsidR="00E24EED">
        <w:t>payment period, including</w:t>
      </w:r>
      <w:r w:rsidR="00761E5C">
        <w:t xml:space="preserve"> the</w:t>
      </w:r>
      <w:r w:rsidR="00E24EED">
        <w:t xml:space="preserve"> </w:t>
      </w:r>
      <w:r>
        <w:t>stage during the Ramp Up period</w:t>
      </w:r>
      <w:r w:rsidR="00C31492">
        <w:t xml:space="preserve"> (if applicable)</w:t>
      </w:r>
      <w:r>
        <w:t xml:space="preserve"> and subsequent periods during the</w:t>
      </w:r>
      <w:r w:rsidR="00D9195F">
        <w:t xml:space="preserve"> </w:t>
      </w:r>
      <w:r>
        <w:t>Initial Term (</w:t>
      </w:r>
      <w:r w:rsidR="00537276">
        <w:t>often</w:t>
      </w:r>
      <w:r w:rsidR="00152CA2">
        <w:t xml:space="preserve"> </w:t>
      </w:r>
      <w:r w:rsidR="00604824">
        <w:t>align</w:t>
      </w:r>
      <w:r w:rsidR="00655EFF">
        <w:t>ed</w:t>
      </w:r>
      <w:r w:rsidR="00604824">
        <w:t xml:space="preserve"> to</w:t>
      </w:r>
      <w:r w:rsidR="00152CA2">
        <w:t xml:space="preserve"> </w:t>
      </w:r>
      <w:r w:rsidR="000C4451">
        <w:t xml:space="preserve">annual </w:t>
      </w:r>
      <w:r w:rsidR="00604824">
        <w:t>Adjustment Dates</w:t>
      </w:r>
      <w:r w:rsidR="00152CA2">
        <w:t>).</w:t>
      </w:r>
      <w:r w:rsidR="002A2E9D">
        <w:t xml:space="preserve">  </w:t>
      </w:r>
      <w:r w:rsidR="005C3BC7">
        <w:t xml:space="preserve">The start of each </w:t>
      </w:r>
      <w:r w:rsidR="00E24EED">
        <w:t>Ramp U</w:t>
      </w:r>
      <w:r w:rsidR="005C3BC7">
        <w:t>p stage</w:t>
      </w:r>
      <w:r w:rsidR="00E24EED">
        <w:t xml:space="preserve">, when applicable, </w:t>
      </w:r>
      <w:r w:rsidR="005C3BC7">
        <w:t xml:space="preserve">should correspond to </w:t>
      </w:r>
      <w:r w:rsidR="00F7545E">
        <w:t>a Milestone</w:t>
      </w:r>
      <w:r w:rsidR="005C3BC7">
        <w:t xml:space="preserve"> (including entry – exit criteria) </w:t>
      </w:r>
      <w:r w:rsidR="00F7545E">
        <w:t>included</w:t>
      </w:r>
      <w:r w:rsidR="005C3BC7">
        <w:t xml:space="preserve"> in the tenderer’s response to TDR D-</w:t>
      </w:r>
      <w:r w:rsidR="005C3BC7">
        <w:fldChar w:fldCharType="begin"/>
      </w:r>
      <w:r w:rsidR="005C3BC7">
        <w:instrText xml:space="preserve"> REF _Ref79675752 \r \h </w:instrText>
      </w:r>
      <w:r w:rsidR="005C3BC7">
        <w:fldChar w:fldCharType="separate"/>
      </w:r>
      <w:r w:rsidR="00793ADB">
        <w:t>2</w:t>
      </w:r>
      <w:r w:rsidR="005C3BC7">
        <w:fldChar w:fldCharType="end"/>
      </w:r>
      <w:r w:rsidR="00F7545E">
        <w:t xml:space="preserve"> </w:t>
      </w:r>
      <w:r w:rsidR="005C3BC7">
        <w:t xml:space="preserve">and draft Attachment C.  </w:t>
      </w:r>
      <w:r w:rsidR="009E6CF4">
        <w:t>S</w:t>
      </w:r>
      <w:r w:rsidR="009E6CF4" w:rsidRPr="00BE19D0">
        <w:t xml:space="preserve">ubject to negotiations, </w:t>
      </w:r>
      <w:r w:rsidR="009E6CF4" w:rsidRPr="005E7E79">
        <w:rPr>
          <w:szCs w:val="20"/>
        </w:rPr>
        <w:t xml:space="preserve">the preferred tenderer’s </w:t>
      </w:r>
      <w:r w:rsidR="009E6CF4">
        <w:rPr>
          <w:szCs w:val="20"/>
        </w:rPr>
        <w:t>Core Services Fee</w:t>
      </w:r>
      <w:r w:rsidR="009E6CF4" w:rsidRPr="005E7E79">
        <w:rPr>
          <w:szCs w:val="20"/>
        </w:rPr>
        <w:t xml:space="preserve"> </w:t>
      </w:r>
      <w:r w:rsidR="00537276">
        <w:rPr>
          <w:szCs w:val="20"/>
        </w:rPr>
        <w:t xml:space="preserve">details </w:t>
      </w:r>
      <w:r w:rsidR="009E6CF4" w:rsidRPr="00BE19D0">
        <w:t>will be included in</w:t>
      </w:r>
      <w:r w:rsidR="00537276">
        <w:t xml:space="preserve"> </w:t>
      </w:r>
      <w:r w:rsidR="009E6CF4" w:rsidRPr="00481A00">
        <w:t>Annex B</w:t>
      </w:r>
      <w:r w:rsidR="009E6CF4" w:rsidRPr="00BE19D0">
        <w:t xml:space="preserve"> to Attachment B to the draft</w:t>
      </w:r>
      <w:r w:rsidR="009E6CF4">
        <w:t xml:space="preserve"> COC</w:t>
      </w:r>
      <w:r w:rsidR="00E5772C">
        <w:t xml:space="preserve">. </w:t>
      </w:r>
      <w:r w:rsidR="009E6CF4">
        <w:t xml:space="preserve"> </w:t>
      </w:r>
      <w:r w:rsidR="002A2E9D">
        <w:t xml:space="preserve">Refer to the </w:t>
      </w:r>
      <w:r w:rsidR="004A4ED2">
        <w:t>SPTPW</w:t>
      </w:r>
      <w:r w:rsidR="002A2E9D">
        <w:t xml:space="preserve"> for instructions</w:t>
      </w:r>
      <w:r w:rsidR="00625806">
        <w:t>.</w:t>
      </w:r>
    </w:p>
    <w:p w14:paraId="6CCF22B2" w14:textId="5EF86022" w:rsidR="002A2E9D" w:rsidRDefault="002A2E9D">
      <w:pPr>
        <w:pStyle w:val="ATTANNLV2-ASDEFCON"/>
      </w:pPr>
      <w:r>
        <w:t xml:space="preserve">When defining the Core Services Fees within the </w:t>
      </w:r>
      <w:r w:rsidR="004A4ED2">
        <w:t>SPTPW</w:t>
      </w:r>
      <w:r w:rsidR="00C31492">
        <w:t xml:space="preserve"> ‘Core Services’ worksheets</w:t>
      </w:r>
      <w:r>
        <w:t xml:space="preserve">, as required by clause </w:t>
      </w:r>
      <w:r>
        <w:fldChar w:fldCharType="begin"/>
      </w:r>
      <w:r>
        <w:instrText xml:space="preserve"> REF _Ref79410096 \r \h </w:instrText>
      </w:r>
      <w:r>
        <w:fldChar w:fldCharType="separate"/>
      </w:r>
      <w:r w:rsidR="00793ADB">
        <w:t>3.1</w:t>
      </w:r>
      <w:r>
        <w:fldChar w:fldCharType="end"/>
      </w:r>
      <w:r>
        <w:t>, tenderers</w:t>
      </w:r>
      <w:r w:rsidR="00425923">
        <w:t xml:space="preserve"> are to</w:t>
      </w:r>
      <w:r>
        <w:t>:</w:t>
      </w:r>
    </w:p>
    <w:p w14:paraId="0C54CA85" w14:textId="6E47F05E" w:rsidR="00CB4B86" w:rsidRDefault="00CF61AC" w:rsidP="00961271">
      <w:pPr>
        <w:pStyle w:val="ATTANNLV3-ASDEFCON"/>
      </w:pPr>
      <w:r>
        <w:t>apply</w:t>
      </w:r>
      <w:r w:rsidR="00425923">
        <w:t xml:space="preserve"> </w:t>
      </w:r>
      <w:r>
        <w:t xml:space="preserve">a pricing breakdown </w:t>
      </w:r>
      <w:r w:rsidR="00961271">
        <w:t>s</w:t>
      </w:r>
      <w:r>
        <w:t>tructure</w:t>
      </w:r>
      <w:r w:rsidR="00961271">
        <w:t xml:space="preserve"> </w:t>
      </w:r>
      <w:r w:rsidR="00A64747">
        <w:t xml:space="preserve">that is </w:t>
      </w:r>
      <w:r w:rsidR="00961271">
        <w:t>consistent with the</w:t>
      </w:r>
      <w:r>
        <w:t xml:space="preserve"> Contract Summary Work Breakdown Structure </w:t>
      </w:r>
      <w:r w:rsidR="005065E9">
        <w:t xml:space="preserve">defined </w:t>
      </w:r>
      <w:r>
        <w:t>in the draft Glossary</w:t>
      </w:r>
      <w:r w:rsidR="00C31492">
        <w:t>,</w:t>
      </w:r>
      <w:r>
        <w:t xml:space="preserve"> and the</w:t>
      </w:r>
      <w:r w:rsidR="00961271">
        <w:t xml:space="preserve"> guidance </w:t>
      </w:r>
      <w:r>
        <w:t xml:space="preserve">included </w:t>
      </w:r>
      <w:r w:rsidR="00961271">
        <w:t>in Annex A to DID-SSM-CWBS;</w:t>
      </w:r>
    </w:p>
    <w:p w14:paraId="75A3BCE8" w14:textId="1AEC5818" w:rsidR="00520F3C" w:rsidRDefault="00CB4B86" w:rsidP="00961271">
      <w:pPr>
        <w:pStyle w:val="ATTANNLV3-ASDEFCON"/>
      </w:pPr>
      <w:r>
        <w:t>provide sufficient detail to demonstrate to the Commonwealth t</w:t>
      </w:r>
      <w:r w:rsidR="00122B76">
        <w:t>hat the tenderer has captured the full scope of the Core Services;</w:t>
      </w:r>
      <w:r w:rsidR="00961271">
        <w:t xml:space="preserve"> and</w:t>
      </w:r>
    </w:p>
    <w:p w14:paraId="64CA6658" w14:textId="01D5D915" w:rsidR="00C946DB" w:rsidRDefault="00773F54" w:rsidP="00961271">
      <w:pPr>
        <w:pStyle w:val="ATTANNLV3-ASDEFCON"/>
      </w:pPr>
      <w:r>
        <w:t>amend</w:t>
      </w:r>
      <w:r w:rsidR="00E24EED">
        <w:t xml:space="preserve"> and</w:t>
      </w:r>
      <w:r>
        <w:t xml:space="preserve"> </w:t>
      </w:r>
      <w:r w:rsidR="00C946DB">
        <w:t>insert addi</w:t>
      </w:r>
      <w:r w:rsidR="00DE270B">
        <w:t>tional workshee</w:t>
      </w:r>
      <w:r w:rsidR="00625806">
        <w:t>ts</w:t>
      </w:r>
      <w:r w:rsidR="00F7545E">
        <w:t>,</w:t>
      </w:r>
      <w:r w:rsidR="00451F86">
        <w:t xml:space="preserve"> </w:t>
      </w:r>
      <w:r w:rsidR="00F7545E">
        <w:t>as</w:t>
      </w:r>
      <w:r w:rsidR="00451F86">
        <w:t xml:space="preserve"> required</w:t>
      </w:r>
      <w:r w:rsidR="00481A00">
        <w:t>,</w:t>
      </w:r>
      <w:r w:rsidR="00451F86">
        <w:t xml:space="preserve"> </w:t>
      </w:r>
      <w:r w:rsidR="00625806">
        <w:t xml:space="preserve">to define </w:t>
      </w:r>
      <w:r>
        <w:t xml:space="preserve">the </w:t>
      </w:r>
      <w:r w:rsidR="00E24EED">
        <w:t xml:space="preserve">payment periods for </w:t>
      </w:r>
      <w:r>
        <w:t xml:space="preserve">Core Services Fees </w:t>
      </w:r>
      <w:r w:rsidR="00E24EED">
        <w:t>(</w:t>
      </w:r>
      <w:r w:rsidR="00625806">
        <w:t>including</w:t>
      </w:r>
      <w:r w:rsidR="00E5772C">
        <w:t xml:space="preserve"> </w:t>
      </w:r>
      <w:r w:rsidR="00056CFD">
        <w:t>for stage</w:t>
      </w:r>
      <w:r>
        <w:t>s</w:t>
      </w:r>
      <w:r w:rsidR="00056CFD">
        <w:t xml:space="preserve"> within </w:t>
      </w:r>
      <w:r w:rsidR="00E5772C">
        <w:t>any</w:t>
      </w:r>
      <w:r w:rsidR="00056CFD">
        <w:t xml:space="preserve"> proposed Ramp Up</w:t>
      </w:r>
      <w:r w:rsidR="00E00EA2">
        <w:t xml:space="preserve"> </w:t>
      </w:r>
      <w:r w:rsidR="00F7545E">
        <w:t xml:space="preserve">that </w:t>
      </w:r>
      <w:r>
        <w:t xml:space="preserve">increase </w:t>
      </w:r>
      <w:r w:rsidR="000C4451">
        <w:t xml:space="preserve">the </w:t>
      </w:r>
      <w:r>
        <w:t xml:space="preserve">range and/or scale of the </w:t>
      </w:r>
      <w:r w:rsidR="000C4451">
        <w:t>Core Services</w:t>
      </w:r>
      <w:r>
        <w:t xml:space="preserve"> provided)</w:t>
      </w:r>
      <w:r w:rsidR="00DE270B">
        <w:t>.</w:t>
      </w:r>
    </w:p>
    <w:p w14:paraId="5B8E0658" w14:textId="3B15CF78" w:rsidR="000A4128" w:rsidRDefault="00390A92" w:rsidP="00390A92">
      <w:pPr>
        <w:pStyle w:val="NoteToDrafters-ASDEFCON"/>
      </w:pPr>
      <w:r w:rsidRPr="00F2637B">
        <w:t xml:space="preserve">Note to drafters:  </w:t>
      </w:r>
      <w:r w:rsidR="00312377">
        <w:t xml:space="preserve">Refer to the note to tenderers. </w:t>
      </w:r>
      <w:r w:rsidR="00F7545E">
        <w:t xml:space="preserve"> </w:t>
      </w:r>
      <w:r w:rsidRPr="00F2637B">
        <w:t xml:space="preserve">Drafters should populate the </w:t>
      </w:r>
      <w:r w:rsidR="00390B4C">
        <w:t xml:space="preserve">‘Excluded Services’ </w:t>
      </w:r>
      <w:r w:rsidR="00A62F42">
        <w:t>worksheet</w:t>
      </w:r>
      <w:r w:rsidR="00951112">
        <w:t xml:space="preserve"> </w:t>
      </w:r>
      <w:r w:rsidR="00D269A3">
        <w:t xml:space="preserve">of the </w:t>
      </w:r>
      <w:r w:rsidR="004A4ED2">
        <w:t>SPTPW</w:t>
      </w:r>
      <w:r w:rsidRPr="00F2637B">
        <w:t xml:space="preserve"> </w:t>
      </w:r>
      <w:r w:rsidR="00162649">
        <w:t>to identify</w:t>
      </w:r>
      <w:r w:rsidRPr="00F2637B">
        <w:t xml:space="preserve"> any </w:t>
      </w:r>
      <w:r w:rsidR="00162649">
        <w:t xml:space="preserve">expected </w:t>
      </w:r>
      <w:r w:rsidRPr="00F2637B">
        <w:t>Excluded Services Fee</w:t>
      </w:r>
      <w:r>
        <w:t>s.</w:t>
      </w:r>
      <w:r w:rsidR="00D273B6">
        <w:t xml:space="preserve">  In relation to GFF the Commonwealth should, </w:t>
      </w:r>
      <w:r w:rsidR="00655EFF">
        <w:t>if</w:t>
      </w:r>
      <w:r w:rsidR="00D273B6">
        <w:t xml:space="preserve"> possible,</w:t>
      </w:r>
      <w:r>
        <w:t xml:space="preserve"> </w:t>
      </w:r>
      <w:r w:rsidR="00D273B6">
        <w:t xml:space="preserve">identify the </w:t>
      </w:r>
      <w:r w:rsidR="00D269A3">
        <w:t>related</w:t>
      </w:r>
      <w:r w:rsidR="00D273B6">
        <w:t xml:space="preserve"> fee</w:t>
      </w:r>
      <w:r w:rsidR="00655EFF">
        <w:t>s</w:t>
      </w:r>
      <w:r w:rsidR="00D273B6">
        <w:t xml:space="preserve"> that </w:t>
      </w:r>
      <w:r w:rsidR="00D269A3">
        <w:t>will</w:t>
      </w:r>
      <w:r w:rsidR="00D273B6">
        <w:t xml:space="preserve"> be </w:t>
      </w:r>
      <w:r w:rsidR="00312377">
        <w:t>applicable as the basis for an Excluded Services Fee</w:t>
      </w:r>
      <w:r w:rsidR="00D273B6">
        <w:t>.</w:t>
      </w:r>
      <w:r w:rsidR="00F95A17">
        <w:t xml:space="preserve">  </w:t>
      </w:r>
      <w:r w:rsidR="00312377">
        <w:t xml:space="preserve">Drafters should also identify related </w:t>
      </w:r>
      <w:r w:rsidR="00E45325">
        <w:t>events</w:t>
      </w:r>
      <w:r w:rsidR="00312377">
        <w:t xml:space="preserve"> (eg, </w:t>
      </w:r>
      <w:r w:rsidR="00E45325">
        <w:t>handover of GFF to a contractor) as a Milestone in draft Attachment C</w:t>
      </w:r>
      <w:r w:rsidR="00F95A17">
        <w:t>.</w:t>
      </w:r>
    </w:p>
    <w:p w14:paraId="2159B1B3" w14:textId="32972F92" w:rsidR="00390A92" w:rsidRPr="00F2637B" w:rsidRDefault="000A4128" w:rsidP="00A64747">
      <w:pPr>
        <w:pStyle w:val="NoteToTenderers-ASDEFCON"/>
      </w:pPr>
      <w:r>
        <w:t xml:space="preserve">Note to tenderers:  </w:t>
      </w:r>
      <w:r w:rsidR="00390A92">
        <w:t xml:space="preserve">Excluded Services Fees apply to costs that are ‘passed through’ to the Commonwealth without profit but which may </w:t>
      </w:r>
      <w:r>
        <w:t>incur general and</w:t>
      </w:r>
      <w:r w:rsidR="00390A92">
        <w:t xml:space="preserve"> administrati</w:t>
      </w:r>
      <w:r>
        <w:t>ve</w:t>
      </w:r>
      <w:r w:rsidR="00390A92">
        <w:t xml:space="preserve"> </w:t>
      </w:r>
      <w:r w:rsidR="00312377">
        <w:t>charges</w:t>
      </w:r>
      <w:r w:rsidR="00390A92">
        <w:t>.</w:t>
      </w:r>
      <w:r w:rsidR="00390B4C">
        <w:t xml:space="preserve"> </w:t>
      </w:r>
      <w:r w:rsidR="00390A92">
        <w:t xml:space="preserve"> </w:t>
      </w:r>
      <w:r w:rsidR="00312377">
        <w:t xml:space="preserve">These </w:t>
      </w:r>
      <w:r>
        <w:t>may</w:t>
      </w:r>
      <w:r w:rsidR="00390A92" w:rsidRPr="00F2637B">
        <w:t xml:space="preserve"> include </w:t>
      </w:r>
      <w:r w:rsidR="00390A92">
        <w:t>lease fees or fixed utilities contributions for Government Furnished Facilities (GFF) or</w:t>
      </w:r>
      <w:r>
        <w:t xml:space="preserve"> any</w:t>
      </w:r>
      <w:r w:rsidR="00390A92">
        <w:t xml:space="preserve"> other ‘pass through’ costs.  </w:t>
      </w:r>
      <w:r w:rsidR="00312377">
        <w:t>Excluded Services Fees are</w:t>
      </w:r>
      <w:r w:rsidR="00312377" w:rsidRPr="00F2637B">
        <w:t xml:space="preserve"> not </w:t>
      </w:r>
      <w:r w:rsidR="00312377">
        <w:t>included in the</w:t>
      </w:r>
      <w:r w:rsidR="00312377" w:rsidRPr="00F2637B">
        <w:t xml:space="preserve"> At</w:t>
      </w:r>
      <w:r w:rsidR="00312377">
        <w:t>-</w:t>
      </w:r>
      <w:r w:rsidR="00312377" w:rsidRPr="00F2637B">
        <w:t>Risk Amou</w:t>
      </w:r>
      <w:r w:rsidR="00312377">
        <w:t xml:space="preserve">nt </w:t>
      </w:r>
      <w:r w:rsidR="00165DE0">
        <w:t xml:space="preserve">that is </w:t>
      </w:r>
      <w:r w:rsidR="00312377">
        <w:t xml:space="preserve">used </w:t>
      </w:r>
      <w:r w:rsidR="00165DE0">
        <w:t>for the calculation of Performance Payments</w:t>
      </w:r>
      <w:r w:rsidR="00312377">
        <w:t>.</w:t>
      </w:r>
    </w:p>
    <w:p w14:paraId="0902E710" w14:textId="245CA817" w:rsidR="00390A92" w:rsidRDefault="00CD3573" w:rsidP="00A64747">
      <w:pPr>
        <w:pStyle w:val="NoteToTenderers-ASDEFCON"/>
      </w:pPr>
      <w:r>
        <w:t>When</w:t>
      </w:r>
      <w:r w:rsidR="00390A92" w:rsidRPr="00F2637B">
        <w:t xml:space="preserve"> a</w:t>
      </w:r>
      <w:r w:rsidR="00E45325">
        <w:t>ny</w:t>
      </w:r>
      <w:r w:rsidR="00390A92" w:rsidRPr="00F2637B">
        <w:t xml:space="preserve"> resultant Contract </w:t>
      </w:r>
      <w:r w:rsidR="00E45325">
        <w:t>would</w:t>
      </w:r>
      <w:r w:rsidR="00E45325" w:rsidRPr="00F2637B">
        <w:t xml:space="preserve"> </w:t>
      </w:r>
      <w:r w:rsidR="00390A92" w:rsidRPr="00F2637B">
        <w:t xml:space="preserve">include Milestones that </w:t>
      </w:r>
      <w:r w:rsidR="00E45325">
        <w:t>start or change</w:t>
      </w:r>
      <w:r w:rsidR="00390A92" w:rsidRPr="00F2637B">
        <w:t xml:space="preserve"> </w:t>
      </w:r>
      <w:r w:rsidR="00C34E41">
        <w:t xml:space="preserve">the scope of </w:t>
      </w:r>
      <w:r w:rsidR="00390A92" w:rsidRPr="00F2637B">
        <w:t>the Excluded Services Fee</w:t>
      </w:r>
      <w:r w:rsidR="00D273B6">
        <w:t xml:space="preserve"> (eg, occupation of GFF</w:t>
      </w:r>
      <w:r w:rsidR="00C34E41">
        <w:t>, which may commence before the Operative Date</w:t>
      </w:r>
      <w:r w:rsidR="00D273B6">
        <w:t>)</w:t>
      </w:r>
      <w:r w:rsidR="00390A92" w:rsidRPr="00F2637B">
        <w:t xml:space="preserve"> </w:t>
      </w:r>
      <w:r w:rsidR="00C34E41">
        <w:t>and these</w:t>
      </w:r>
      <w:r w:rsidR="00F95A17">
        <w:t xml:space="preserve"> are not included in the </w:t>
      </w:r>
      <w:r w:rsidR="004A4ED2">
        <w:t>SPTPW</w:t>
      </w:r>
      <w:r w:rsidR="00F95A17">
        <w:t xml:space="preserve">, </w:t>
      </w:r>
      <w:r w:rsidR="00D273B6">
        <w:t xml:space="preserve">additional </w:t>
      </w:r>
      <w:r w:rsidR="00C34E41">
        <w:t>details</w:t>
      </w:r>
      <w:r w:rsidR="00A62F42">
        <w:t xml:space="preserve"> </w:t>
      </w:r>
      <w:r w:rsidR="00D273B6">
        <w:t>should be added to</w:t>
      </w:r>
      <w:r w:rsidR="00390A92" w:rsidRPr="00F2637B">
        <w:t xml:space="preserve"> </w:t>
      </w:r>
      <w:r w:rsidR="00C34E41">
        <w:t xml:space="preserve">the worksheet to </w:t>
      </w:r>
      <w:r w:rsidR="00390A92" w:rsidRPr="00F2637B">
        <w:t>define the Excludes Services Fee</w:t>
      </w:r>
      <w:r w:rsidR="00C34E41">
        <w:t>s</w:t>
      </w:r>
      <w:r w:rsidR="00390A92">
        <w:t xml:space="preserve">.  </w:t>
      </w:r>
      <w:r w:rsidR="00F95A17">
        <w:t>O</w:t>
      </w:r>
      <w:r w:rsidR="00390A92" w:rsidRPr="00F2637B">
        <w:t xml:space="preserve">nce the full </w:t>
      </w:r>
      <w:r w:rsidR="00E45325">
        <w:t xml:space="preserve">amount of the </w:t>
      </w:r>
      <w:r w:rsidR="00390A92" w:rsidRPr="00F2637B">
        <w:t xml:space="preserve">Excluded Services Fee is payable, </w:t>
      </w:r>
      <w:r w:rsidR="00C34E41">
        <w:t>details</w:t>
      </w:r>
      <w:r w:rsidR="00390A92" w:rsidRPr="00F2637B">
        <w:t xml:space="preserve"> </w:t>
      </w:r>
      <w:r w:rsidR="00E45325">
        <w:t>should</w:t>
      </w:r>
      <w:r w:rsidR="00E45325" w:rsidRPr="00F2637B">
        <w:t xml:space="preserve"> </w:t>
      </w:r>
      <w:r w:rsidR="00390A92" w:rsidRPr="00F2637B">
        <w:t xml:space="preserve">be </w:t>
      </w:r>
      <w:r w:rsidR="009E6CF4">
        <w:t>prepared</w:t>
      </w:r>
      <w:r w:rsidR="00390A92" w:rsidRPr="00F2637B">
        <w:t xml:space="preserve"> for each </w:t>
      </w:r>
      <w:r w:rsidR="00E45325">
        <w:t xml:space="preserve">subsequent </w:t>
      </w:r>
      <w:r w:rsidR="00390A92" w:rsidRPr="00F2637B">
        <w:t>year</w:t>
      </w:r>
      <w:r w:rsidR="00E45325">
        <w:t>,</w:t>
      </w:r>
      <w:r w:rsidR="00390A92" w:rsidRPr="00F2637B">
        <w:t xml:space="preserve"> align</w:t>
      </w:r>
      <w:r w:rsidR="00E45325">
        <w:t>ed</w:t>
      </w:r>
      <w:r w:rsidR="00390A92" w:rsidRPr="00F2637B">
        <w:t xml:space="preserve"> </w:t>
      </w:r>
      <w:r w:rsidR="00165DE0">
        <w:t>to the</w:t>
      </w:r>
      <w:r w:rsidR="00165DE0" w:rsidRPr="00F2637B">
        <w:t xml:space="preserve"> </w:t>
      </w:r>
      <w:r w:rsidR="00390A92">
        <w:t>Adjustment Date</w:t>
      </w:r>
      <w:r w:rsidR="00390A92" w:rsidRPr="00F2637B">
        <w:t>s</w:t>
      </w:r>
      <w:r w:rsidR="00390A92">
        <w:t>.</w:t>
      </w:r>
    </w:p>
    <w:p w14:paraId="75244490" w14:textId="3FC50C9D" w:rsidR="00390A92" w:rsidRDefault="00390A92" w:rsidP="00763698">
      <w:pPr>
        <w:pStyle w:val="ATTANNLV2-ASDEFCON"/>
      </w:pPr>
      <w:bookmarkStart w:id="11" w:name="_Ref83393148"/>
      <w:r>
        <w:rPr>
          <w:b/>
        </w:rPr>
        <w:t>Excluded Services Fee</w:t>
      </w:r>
      <w:r w:rsidR="005522D9">
        <w:rPr>
          <w:b/>
        </w:rPr>
        <w:t xml:space="preserve">. </w:t>
      </w:r>
      <w:r>
        <w:t xml:space="preserve"> </w:t>
      </w:r>
      <w:r w:rsidR="004E1066">
        <w:t xml:space="preserve">If Excluded Services Fees will apply to any resultant Contract, </w:t>
      </w:r>
      <w:r w:rsidR="004E1066" w:rsidRPr="004D1BA9">
        <w:t xml:space="preserve">tenderers </w:t>
      </w:r>
      <w:r>
        <w:t xml:space="preserve">are to complete the ‘Excluded Services’ </w:t>
      </w:r>
      <w:r w:rsidR="00F95A17">
        <w:t>worksheet</w:t>
      </w:r>
      <w:r w:rsidRPr="004D1BA9">
        <w:t xml:space="preserve"> </w:t>
      </w:r>
      <w:r>
        <w:t xml:space="preserve">of the </w:t>
      </w:r>
      <w:r w:rsidR="00E1703D">
        <w:t>SPTPW</w:t>
      </w:r>
      <w:r w:rsidR="00C34E41">
        <w:t xml:space="preserve">, </w:t>
      </w:r>
      <w:r w:rsidR="004E1066">
        <w:t xml:space="preserve">from the commencement of these fees </w:t>
      </w:r>
      <w:r w:rsidR="00C34E41">
        <w:t>until the completion of the Initial Term of the draft Contract</w:t>
      </w:r>
      <w:r>
        <w:t>.</w:t>
      </w:r>
      <w:bookmarkEnd w:id="11"/>
    </w:p>
    <w:p w14:paraId="15088C49" w14:textId="2DA16E5C" w:rsidR="004E1066" w:rsidRDefault="004E1066" w:rsidP="00A610D1">
      <w:pPr>
        <w:pStyle w:val="ATTANNLV2-ASDEFCON"/>
      </w:pPr>
      <w:r>
        <w:t xml:space="preserve">When defining the </w:t>
      </w:r>
      <w:r w:rsidR="007F2B6C">
        <w:t>Excluded</w:t>
      </w:r>
      <w:r>
        <w:t xml:space="preserve"> Services Fees within the SPTPW ‘Excluded Services’ worksheet, as required by clause </w:t>
      </w:r>
      <w:r>
        <w:fldChar w:fldCharType="begin"/>
      </w:r>
      <w:r>
        <w:instrText xml:space="preserve"> REF _Ref83393148 \r \h </w:instrText>
      </w:r>
      <w:r>
        <w:fldChar w:fldCharType="separate"/>
      </w:r>
      <w:r w:rsidR="00793ADB">
        <w:t>3.3</w:t>
      </w:r>
      <w:r>
        <w:fldChar w:fldCharType="end"/>
      </w:r>
      <w:r>
        <w:t>, tenderers are to:</w:t>
      </w:r>
    </w:p>
    <w:p w14:paraId="29B3E88E" w14:textId="4F2A2E76" w:rsidR="002B2300" w:rsidRDefault="007F2B6C" w:rsidP="00A610D1">
      <w:pPr>
        <w:pStyle w:val="ATTANNLV3-ASDEFCON"/>
      </w:pPr>
      <w:r>
        <w:t xml:space="preserve">amend the worksheet to define </w:t>
      </w:r>
      <w:r w:rsidR="00165DE0">
        <w:t xml:space="preserve">the </w:t>
      </w:r>
      <w:r>
        <w:t xml:space="preserve">payment periods for Excluded Services Fees (including </w:t>
      </w:r>
      <w:r w:rsidR="002B2300">
        <w:t>stages within Phase In and/or any proposed Ramp Up used to identify changes in Excluded Services Fees);</w:t>
      </w:r>
    </w:p>
    <w:p w14:paraId="578CB3DC" w14:textId="0B8BD7A4" w:rsidR="00A610D1" w:rsidRDefault="00C3345D" w:rsidP="00A610D1">
      <w:pPr>
        <w:pStyle w:val="ATTANNLV3-ASDEFCON"/>
      </w:pPr>
      <w:r>
        <w:lastRenderedPageBreak/>
        <w:t xml:space="preserve">define </w:t>
      </w:r>
      <w:r w:rsidR="00D430AE">
        <w:t>the</w:t>
      </w:r>
      <w:r w:rsidR="00A610D1">
        <w:t xml:space="preserve"> </w:t>
      </w:r>
      <w:r>
        <w:t>events</w:t>
      </w:r>
      <w:r w:rsidR="004E1066">
        <w:t xml:space="preserve"> </w:t>
      </w:r>
      <w:r w:rsidR="00A610D1">
        <w:t xml:space="preserve">that </w:t>
      </w:r>
      <w:r w:rsidR="000113E6">
        <w:t>designate</w:t>
      </w:r>
      <w:r>
        <w:t xml:space="preserve"> </w:t>
      </w:r>
      <w:r w:rsidR="00A610D1">
        <w:t xml:space="preserve">the start of each </w:t>
      </w:r>
      <w:r w:rsidR="007F2B6C">
        <w:t>paym</w:t>
      </w:r>
      <w:r w:rsidR="004E1066">
        <w:t>ent period</w:t>
      </w:r>
      <w:r w:rsidR="00A610D1">
        <w:t xml:space="preserve"> </w:t>
      </w:r>
      <w:r w:rsidR="007F2B6C">
        <w:t>for</w:t>
      </w:r>
      <w:r w:rsidR="00A610D1">
        <w:t xml:space="preserve"> </w:t>
      </w:r>
      <w:r w:rsidR="00836E07">
        <w:t>Excluded</w:t>
      </w:r>
      <w:r w:rsidR="00A610D1">
        <w:t xml:space="preserve"> Service</w:t>
      </w:r>
      <w:r w:rsidR="000113E6">
        <w:t>s</w:t>
      </w:r>
      <w:r w:rsidR="00A610D1">
        <w:t xml:space="preserve"> Fee</w:t>
      </w:r>
      <w:r w:rsidR="007F2B6C">
        <w:t>s</w:t>
      </w:r>
      <w:r w:rsidRPr="00C3345D">
        <w:t xml:space="preserve"> </w:t>
      </w:r>
      <w:r>
        <w:t xml:space="preserve">as Milestones in draft Attachment C (including </w:t>
      </w:r>
      <w:r w:rsidR="000113E6">
        <w:t xml:space="preserve">Milestone entry and </w:t>
      </w:r>
      <w:r>
        <w:t>exit criteria).</w:t>
      </w:r>
    </w:p>
    <w:p w14:paraId="1A45B9FC" w14:textId="149647F0" w:rsidR="00122B76" w:rsidRDefault="00C9354D" w:rsidP="00122B76">
      <w:pPr>
        <w:pStyle w:val="ATTANNLV1-ASDEFCON"/>
      </w:pPr>
      <w:r>
        <w:t xml:space="preserve">Proposed </w:t>
      </w:r>
      <w:r w:rsidR="00122B76" w:rsidRPr="00C31492">
        <w:t>Task</w:t>
      </w:r>
      <w:r>
        <w:t>-</w:t>
      </w:r>
      <w:r w:rsidR="00122B76" w:rsidRPr="00C31492">
        <w:t>Priced Services</w:t>
      </w:r>
      <w:r>
        <w:t xml:space="preserve"> (OPTIONAL)</w:t>
      </w:r>
    </w:p>
    <w:p w14:paraId="4A7FC5DE" w14:textId="4189F739" w:rsidR="00390B4C" w:rsidRDefault="00390B4C" w:rsidP="00390B4C">
      <w:pPr>
        <w:pStyle w:val="NoteToDrafters-ASDEFCON"/>
      </w:pPr>
      <w:r w:rsidRPr="00EB0ED9">
        <w:t xml:space="preserve">Note to drafters:  Drafters should populate </w:t>
      </w:r>
      <w:r w:rsidR="00BF58E6">
        <w:t>the item descriptions</w:t>
      </w:r>
      <w:r w:rsidRPr="00EB0ED9">
        <w:t xml:space="preserve"> </w:t>
      </w:r>
      <w:r>
        <w:t xml:space="preserve">in the ‘Task Priced Services’ </w:t>
      </w:r>
      <w:r w:rsidR="00331148">
        <w:t xml:space="preserve">worksheet </w:t>
      </w:r>
      <w:r>
        <w:t xml:space="preserve">of the </w:t>
      </w:r>
      <w:r w:rsidR="00E1703D">
        <w:t>SPTPW</w:t>
      </w:r>
      <w:r w:rsidRPr="00EB0ED9">
        <w:t xml:space="preserve">, </w:t>
      </w:r>
      <w:r w:rsidR="00420EEE">
        <w:t>where</w:t>
      </w:r>
      <w:r w:rsidRPr="00EB0ED9">
        <w:t xml:space="preserve"> </w:t>
      </w:r>
      <w:r w:rsidR="00420EEE">
        <w:t>known</w:t>
      </w:r>
      <w:r w:rsidRPr="00EB0ED9">
        <w:t xml:space="preserve">, </w:t>
      </w:r>
      <w:r w:rsidR="00420EEE">
        <w:t xml:space="preserve">including </w:t>
      </w:r>
      <w:r w:rsidRPr="00EB0ED9">
        <w:t>for any tasks identified in the SOW or DSDs as Task-Priced Services</w:t>
      </w:r>
      <w:r>
        <w:t xml:space="preserve">.  </w:t>
      </w:r>
      <w:r w:rsidRPr="00EB0ED9">
        <w:t>Task-Priced Services are stand-alone tasks of known effort</w:t>
      </w:r>
      <w:r w:rsidR="00C3345D">
        <w:t xml:space="preserve"> (and cost)</w:t>
      </w:r>
      <w:r w:rsidRPr="00EB0ED9">
        <w:t xml:space="preserve">, but unknown </w:t>
      </w:r>
      <w:r w:rsidR="00C3345D">
        <w:t>and/or irregular occurrence</w:t>
      </w:r>
      <w:r w:rsidR="00C3345D" w:rsidRPr="00EB0ED9">
        <w:t xml:space="preserve"> </w:t>
      </w:r>
      <w:r w:rsidRPr="00EB0ED9">
        <w:t>(eg</w:t>
      </w:r>
      <w:r>
        <w:t xml:space="preserve">. </w:t>
      </w:r>
      <w:r w:rsidR="006F1FB3">
        <w:t>for the purchase of particular repairable items or the delivery additional Training courses</w:t>
      </w:r>
      <w:r w:rsidRPr="00607C55">
        <w:t>).</w:t>
      </w:r>
    </w:p>
    <w:p w14:paraId="26431563" w14:textId="5FE8CC23" w:rsidR="009E6CF4" w:rsidRPr="00EB0ED9" w:rsidRDefault="009E6CF4" w:rsidP="00F7733D">
      <w:pPr>
        <w:pStyle w:val="NoteToTenderers-ASDEFCON"/>
      </w:pPr>
      <w:r>
        <w:t>Note to tenderers: S</w:t>
      </w:r>
      <w:r w:rsidRPr="00BE19D0">
        <w:t xml:space="preserve">ubject to negotiations, </w:t>
      </w:r>
      <w:r w:rsidRPr="005E7E79">
        <w:rPr>
          <w:szCs w:val="20"/>
        </w:rPr>
        <w:t xml:space="preserve">the preferred tenderer’s </w:t>
      </w:r>
      <w:r>
        <w:rPr>
          <w:szCs w:val="20"/>
        </w:rPr>
        <w:t>Task-Priced Services Fees</w:t>
      </w:r>
      <w:r w:rsidRPr="005E7E79">
        <w:rPr>
          <w:szCs w:val="20"/>
        </w:rPr>
        <w:t xml:space="preserve"> </w:t>
      </w:r>
      <w:r w:rsidRPr="00BE19D0">
        <w:t xml:space="preserve">will be included in </w:t>
      </w:r>
      <w:r w:rsidRPr="00C3345D">
        <w:t>Annex D</w:t>
      </w:r>
      <w:r w:rsidRPr="00BE19D0">
        <w:t xml:space="preserve"> to Attachment B to the draft</w:t>
      </w:r>
      <w:r>
        <w:t xml:space="preserve"> COC</w:t>
      </w:r>
      <w:r w:rsidR="00D9195F">
        <w:t>.</w:t>
      </w:r>
      <w:r w:rsidR="004F74B6">
        <w:t xml:space="preserve">  The list should include all known Task-Priced Services, not only those </w:t>
      </w:r>
      <w:r w:rsidR="00420EEE">
        <w:t xml:space="preserve">likely to </w:t>
      </w:r>
      <w:r w:rsidR="005462E8">
        <w:t>occur</w:t>
      </w:r>
      <w:r w:rsidR="00420EEE">
        <w:t xml:space="preserve"> in</w:t>
      </w:r>
      <w:r w:rsidR="004F74B6">
        <w:t xml:space="preserve"> the first year </w:t>
      </w:r>
      <w:r w:rsidR="00402A0E">
        <w:t>of</w:t>
      </w:r>
      <w:r w:rsidR="004F74B6">
        <w:t xml:space="preserve"> any resultant Contract.</w:t>
      </w:r>
    </w:p>
    <w:p w14:paraId="034B13B9" w14:textId="59BAE6DD" w:rsidR="00390B4C" w:rsidRDefault="00390B4C" w:rsidP="00763698">
      <w:pPr>
        <w:pStyle w:val="ATTANNLV2-ASDEFCON"/>
      </w:pPr>
      <w:r w:rsidRPr="004D1BA9">
        <w:t xml:space="preserve">Tenderers </w:t>
      </w:r>
      <w:r>
        <w:t xml:space="preserve">are to complete the ‘Task Priced Services’ </w:t>
      </w:r>
      <w:r w:rsidR="00D9195F">
        <w:t>worksheet</w:t>
      </w:r>
      <w:r w:rsidRPr="004D1BA9">
        <w:t xml:space="preserve"> </w:t>
      </w:r>
      <w:r>
        <w:t xml:space="preserve">of the </w:t>
      </w:r>
      <w:r w:rsidR="00E1703D">
        <w:t>SPTPW</w:t>
      </w:r>
      <w:r>
        <w:t>.</w:t>
      </w:r>
    </w:p>
    <w:p w14:paraId="7E745B09" w14:textId="3DB07D05" w:rsidR="00CB4B86" w:rsidRDefault="00E81D5C" w:rsidP="0044572D">
      <w:pPr>
        <w:pStyle w:val="ATTANNLV1-ASDEFCON"/>
      </w:pPr>
      <w:r w:rsidRPr="00CB4B86">
        <w:t>Survey and Quote Services</w:t>
      </w:r>
      <w:r w:rsidR="00C9354D">
        <w:t xml:space="preserve"> (CORE)</w:t>
      </w:r>
    </w:p>
    <w:p w14:paraId="26C520A4" w14:textId="3D6C4916" w:rsidR="00514666" w:rsidRPr="00514666" w:rsidRDefault="00514666" w:rsidP="00514666">
      <w:pPr>
        <w:pStyle w:val="NoteToTenderers-ASDEFCON"/>
      </w:pPr>
      <w:r>
        <w:t xml:space="preserve">Note to tenderers:  Subject to negotiations, the preferred tenderer’s </w:t>
      </w:r>
      <w:r w:rsidR="008763DD">
        <w:t xml:space="preserve">rates for </w:t>
      </w:r>
      <w:r>
        <w:t xml:space="preserve">S&amp;Q </w:t>
      </w:r>
      <w:r w:rsidR="008763DD">
        <w:t>Services</w:t>
      </w:r>
      <w:r w:rsidRPr="00EB0ED9">
        <w:t xml:space="preserve"> </w:t>
      </w:r>
      <w:r w:rsidR="008763DD">
        <w:t xml:space="preserve">will be included in Annex </w:t>
      </w:r>
      <w:r w:rsidR="00294152">
        <w:t>E</w:t>
      </w:r>
      <w:r w:rsidR="008763DD">
        <w:t xml:space="preserve"> to Attachment B to the draft COC</w:t>
      </w:r>
      <w:r w:rsidRPr="00EB0ED9">
        <w:t xml:space="preserve">, </w:t>
      </w:r>
      <w:r w:rsidR="008763DD">
        <w:t>to</w:t>
      </w:r>
      <w:r w:rsidRPr="00EB0ED9">
        <w:t xml:space="preserve"> be used </w:t>
      </w:r>
      <w:r w:rsidR="008763DD">
        <w:t>as the basis for providing</w:t>
      </w:r>
      <w:r w:rsidRPr="00EB0ED9">
        <w:t xml:space="preserve"> quotes under clause 3.1</w:t>
      </w:r>
      <w:r>
        <w:t>4</w:t>
      </w:r>
      <w:r w:rsidRPr="00EB0ED9">
        <w:t xml:space="preserve"> of the draft COC</w:t>
      </w:r>
      <w:r>
        <w:t>.</w:t>
      </w:r>
    </w:p>
    <w:p w14:paraId="7768D300" w14:textId="77777777" w:rsidR="00C31618" w:rsidRDefault="00E81D5C" w:rsidP="00763698">
      <w:pPr>
        <w:pStyle w:val="ATTANNLV2-ASDEFCON"/>
      </w:pPr>
      <w:bookmarkStart w:id="12" w:name="_Ref79744697"/>
      <w:r w:rsidRPr="004D1BA9">
        <w:t xml:space="preserve">Tenderers </w:t>
      </w:r>
      <w:r>
        <w:t xml:space="preserve">are to complete the ‘S&amp;Q Services’ </w:t>
      </w:r>
      <w:r w:rsidR="009A0FBD">
        <w:t>worksheet</w:t>
      </w:r>
      <w:r w:rsidRPr="004D1BA9">
        <w:t xml:space="preserve"> </w:t>
      </w:r>
      <w:r>
        <w:t xml:space="preserve">of the </w:t>
      </w:r>
      <w:r w:rsidR="00E1703D">
        <w:t>SPTPW</w:t>
      </w:r>
      <w:r w:rsidR="00C31618">
        <w:t>, including the:</w:t>
      </w:r>
    </w:p>
    <w:p w14:paraId="08F09166" w14:textId="77777777" w:rsidR="00C31618" w:rsidRDefault="00C31618" w:rsidP="00C31618">
      <w:pPr>
        <w:pStyle w:val="ATTANNLV3-ASDEFCON"/>
      </w:pPr>
      <w:r>
        <w:t>Schedule of Labour Rates for Survey and Quote Services; and</w:t>
      </w:r>
    </w:p>
    <w:p w14:paraId="730F8615" w14:textId="0DDF986B" w:rsidR="00E81D5C" w:rsidRDefault="00C31618" w:rsidP="00C31618">
      <w:pPr>
        <w:pStyle w:val="ATTANNLV3-ASDEFCON"/>
      </w:pPr>
      <w:r>
        <w:t xml:space="preserve">Margins for S&amp;Q Services (defining mark-up rates for </w:t>
      </w:r>
      <w:r w:rsidRPr="00C31618">
        <w:t>materials, Subcontracts and other Allowable Costs)</w:t>
      </w:r>
      <w:r w:rsidR="009D2572">
        <w:t>.</w:t>
      </w:r>
      <w:bookmarkEnd w:id="12"/>
    </w:p>
    <w:p w14:paraId="136C9202" w14:textId="7717689E" w:rsidR="00520320" w:rsidRDefault="00402A0E" w:rsidP="00C31618">
      <w:pPr>
        <w:pStyle w:val="ATTANNLV2-ASDEFCON"/>
      </w:pPr>
      <w:r>
        <w:t xml:space="preserve">When defining the S&amp;Q </w:t>
      </w:r>
      <w:r w:rsidR="00E646B6">
        <w:t xml:space="preserve">labour rates </w:t>
      </w:r>
      <w:r>
        <w:t xml:space="preserve">within the </w:t>
      </w:r>
      <w:r w:rsidR="004A4ED2">
        <w:t>SPTPW</w:t>
      </w:r>
      <w:r>
        <w:t xml:space="preserve">, as required by clause </w:t>
      </w:r>
      <w:r>
        <w:fldChar w:fldCharType="begin"/>
      </w:r>
      <w:r>
        <w:instrText xml:space="preserve"> REF _Ref79744697 \r \h </w:instrText>
      </w:r>
      <w:r>
        <w:fldChar w:fldCharType="separate"/>
      </w:r>
      <w:r w:rsidR="00793ADB">
        <w:t>5.1</w:t>
      </w:r>
      <w:r>
        <w:fldChar w:fldCharType="end"/>
      </w:r>
      <w:r>
        <w:t>,</w:t>
      </w:r>
      <w:r w:rsidR="007507FC">
        <w:t xml:space="preserve"> </w:t>
      </w:r>
      <w:r w:rsidR="007507FC" w:rsidRPr="00EB0ED9">
        <w:t xml:space="preserve">tenderers </w:t>
      </w:r>
      <w:r w:rsidR="00E81D5C" w:rsidRPr="00EB0ED9">
        <w:t>are to</w:t>
      </w:r>
      <w:r w:rsidR="00520320">
        <w:t xml:space="preserve"> </w:t>
      </w:r>
      <w:r w:rsidR="00E81D5C" w:rsidRPr="00EB0ED9">
        <w:t xml:space="preserve">identify all </w:t>
      </w:r>
      <w:r w:rsidR="005425C8">
        <w:t xml:space="preserve">of </w:t>
      </w:r>
      <w:r w:rsidR="00E81D5C" w:rsidRPr="00EB0ED9">
        <w:t xml:space="preserve">the labour categories </w:t>
      </w:r>
      <w:r w:rsidR="007507FC">
        <w:t>and</w:t>
      </w:r>
      <w:r w:rsidR="00E81D5C" w:rsidRPr="00EB0ED9">
        <w:t xml:space="preserve"> skill levels </w:t>
      </w:r>
      <w:r w:rsidR="00520320" w:rsidRPr="00A430C5">
        <w:t>expected</w:t>
      </w:r>
      <w:r w:rsidR="00520320" w:rsidRPr="00EB0ED9">
        <w:t xml:space="preserve"> </w:t>
      </w:r>
      <w:r w:rsidR="00E81D5C" w:rsidRPr="00EB0ED9">
        <w:t>to carry out the S&amp;Q Services described in the draft SOW</w:t>
      </w:r>
      <w:r w:rsidR="00D86012">
        <w:t xml:space="preserve"> (including DSDs)</w:t>
      </w:r>
      <w:r w:rsidR="00E81D5C" w:rsidRPr="00EB0ED9">
        <w:t xml:space="preserve"> and provide an hourly rate for both normal time and other time</w:t>
      </w:r>
      <w:r w:rsidR="00E81D5C">
        <w:t>.</w:t>
      </w:r>
    </w:p>
    <w:p w14:paraId="438E0ADC" w14:textId="55D7FDC4" w:rsidR="00E81D5C" w:rsidRPr="00EB0ED9" w:rsidRDefault="00E81D5C" w:rsidP="00C31618">
      <w:pPr>
        <w:pStyle w:val="ATTANNLV2-ASDEFCON"/>
      </w:pPr>
      <w:r w:rsidRPr="00EB0ED9">
        <w:t xml:space="preserve">Tenderers are to define </w:t>
      </w:r>
      <w:r w:rsidR="00520320">
        <w:t>‘</w:t>
      </w:r>
      <w:r w:rsidRPr="00EB0ED9">
        <w:t>normal time</w:t>
      </w:r>
      <w:r w:rsidR="00520320">
        <w:t>’</w:t>
      </w:r>
      <w:r w:rsidRPr="00EB0ED9">
        <w:t xml:space="preserve"> and </w:t>
      </w:r>
      <w:r w:rsidR="00520320">
        <w:t>‘</w:t>
      </w:r>
      <w:r w:rsidRPr="00EB0ED9">
        <w:t>other time</w:t>
      </w:r>
      <w:r w:rsidR="00520320">
        <w:t>’</w:t>
      </w:r>
      <w:r w:rsidRPr="00EB0ED9">
        <w:t xml:space="preserve"> </w:t>
      </w:r>
      <w:r w:rsidR="00520320">
        <w:t>to be used for the purposes of calculating the price of S&amp;Q Services</w:t>
      </w:r>
      <w:r w:rsidR="00520320" w:rsidRPr="00EB0ED9">
        <w:t xml:space="preserve"> </w:t>
      </w:r>
      <w:r w:rsidRPr="00EB0ED9">
        <w:t xml:space="preserve">(eg, </w:t>
      </w:r>
      <w:r w:rsidR="00E646B6" w:rsidRPr="00EB0ED9">
        <w:t xml:space="preserve">normal </w:t>
      </w:r>
      <w:r w:rsidRPr="00EB0ED9">
        <w:t xml:space="preserve">time </w:t>
      </w:r>
      <w:r w:rsidR="00E646B6">
        <w:t xml:space="preserve">is </w:t>
      </w:r>
      <w:r w:rsidRPr="00EB0ED9">
        <w:t>8 hrs/day any Working Day between 07:00 – 19:00).</w:t>
      </w:r>
    </w:p>
    <w:p w14:paraId="2DCB8490" w14:textId="5F75C7FF" w:rsidR="004C6560" w:rsidRDefault="00725370" w:rsidP="00D86012">
      <w:pPr>
        <w:pStyle w:val="NoteToDrafters-ASDEFCON"/>
      </w:pPr>
      <w:r w:rsidRPr="00933A41">
        <w:t>Note to drafters:  If materials are to be supplied by the Contractor, drafters should request a price list to be included under this section to cover those materials that are known</w:t>
      </w:r>
      <w:r>
        <w:t xml:space="preserve">.  </w:t>
      </w:r>
      <w:r w:rsidRPr="00933A41">
        <w:t xml:space="preserve">Insert the threshold amount for mark-ups into the following note to tenderers and </w:t>
      </w:r>
      <w:r w:rsidR="00631447">
        <w:t xml:space="preserve">in </w:t>
      </w:r>
      <w:r>
        <w:t xml:space="preserve">the ‘Margins for Survey and Quote amounts’ table </w:t>
      </w:r>
      <w:r w:rsidR="00631447">
        <w:t>o</w:t>
      </w:r>
      <w:r>
        <w:t>n the ‘</w:t>
      </w:r>
      <w:r w:rsidR="00631447">
        <w:t>S&amp;Q Services</w:t>
      </w:r>
      <w:r>
        <w:t xml:space="preserve"> </w:t>
      </w:r>
      <w:r w:rsidR="00177596">
        <w:t>worksheet</w:t>
      </w:r>
      <w:r>
        <w:t xml:space="preserve"> of the</w:t>
      </w:r>
      <w:r w:rsidRPr="00725370">
        <w:t xml:space="preserve"> </w:t>
      </w:r>
      <w:r w:rsidR="00E1703D">
        <w:t>SPTPW</w:t>
      </w:r>
      <w:r w:rsidR="004C6560">
        <w:t>.</w:t>
      </w:r>
    </w:p>
    <w:p w14:paraId="2F4AD7DA" w14:textId="5751A569" w:rsidR="00725370" w:rsidRPr="00933A41" w:rsidRDefault="004C6560" w:rsidP="00D86012">
      <w:pPr>
        <w:pStyle w:val="NoteToTenderers-ASDEFCON"/>
      </w:pPr>
      <w:r w:rsidRPr="00933A41">
        <w:t>Note to tenderers:  The Commonwealth prefers differential mark</w:t>
      </w:r>
      <w:r w:rsidR="00520320">
        <w:t>-</w:t>
      </w:r>
      <w:r w:rsidRPr="00933A41">
        <w:t xml:space="preserve">ups on Contractor purchased Materials, Subcontracts and other Allowable Costs so that higher value purchases attract a lower </w:t>
      </w:r>
      <w:r w:rsidR="004A123A">
        <w:t xml:space="preserve">percentage </w:t>
      </w:r>
      <w:r w:rsidRPr="00933A41">
        <w:t>mark</w:t>
      </w:r>
      <w:r w:rsidR="00520320">
        <w:t>-</w:t>
      </w:r>
      <w:r w:rsidRPr="00933A41">
        <w:t>up</w:t>
      </w:r>
      <w:r>
        <w:t xml:space="preserve">.  </w:t>
      </w:r>
      <w:r w:rsidRPr="00933A41">
        <w:t>Purchases shall not be split to remain under any thresholds set</w:t>
      </w:r>
      <w:r>
        <w:t xml:space="preserve">.  </w:t>
      </w:r>
      <w:r w:rsidRPr="00933A41">
        <w:t>Mark</w:t>
      </w:r>
      <w:r w:rsidR="00520320">
        <w:t>-</w:t>
      </w:r>
      <w:r w:rsidRPr="00933A41">
        <w:t xml:space="preserve">ups on purchases over </w:t>
      </w:r>
      <w:r w:rsidRPr="00933A41">
        <w:fldChar w:fldCharType="begin">
          <w:ffData>
            <w:name w:val="Text1"/>
            <w:enabled/>
            <w:calcOnExit w:val="0"/>
            <w:textInput>
              <w:default w:val="[INSERT AMOUNT]"/>
            </w:textInput>
          </w:ffData>
        </w:fldChar>
      </w:r>
      <w:r w:rsidRPr="00933A41">
        <w:instrText xml:space="preserve"> FORMTEXT </w:instrText>
      </w:r>
      <w:r w:rsidRPr="00933A41">
        <w:fldChar w:fldCharType="separate"/>
      </w:r>
      <w:r>
        <w:rPr>
          <w:noProof/>
        </w:rPr>
        <w:t>[INSERT AMOUNT]</w:t>
      </w:r>
      <w:r w:rsidRPr="00933A41">
        <w:fldChar w:fldCharType="end"/>
      </w:r>
      <w:r w:rsidRPr="00933A41">
        <w:t xml:space="preserve"> will be negotiated</w:t>
      </w:r>
      <w:r>
        <w:t>.</w:t>
      </w:r>
    </w:p>
    <w:p w14:paraId="3C713055" w14:textId="7E697276" w:rsidR="00FB5553" w:rsidRPr="004D1BA9" w:rsidRDefault="004A123A">
      <w:pPr>
        <w:pStyle w:val="ATTANNLV2-ASDEFCON"/>
      </w:pPr>
      <w:r>
        <w:t>In regards to</w:t>
      </w:r>
      <w:r w:rsidR="004965A5">
        <w:t xml:space="preserve"> the mark-ups</w:t>
      </w:r>
      <w:r w:rsidR="009D2572" w:rsidRPr="004965A5">
        <w:t xml:space="preserve"> for </w:t>
      </w:r>
      <w:r w:rsidR="004965A5" w:rsidRPr="004965A5">
        <w:t>materials</w:t>
      </w:r>
      <w:r w:rsidR="009D2572" w:rsidRPr="004965A5">
        <w:t xml:space="preserve">, Subcontracts and other Allowable Costs within </w:t>
      </w:r>
      <w:r w:rsidR="004965A5">
        <w:t xml:space="preserve">the ‘Margins for </w:t>
      </w:r>
      <w:r w:rsidR="009D2572" w:rsidRPr="004965A5">
        <w:t>S&amp;Q Services</w:t>
      </w:r>
      <w:r w:rsidR="004965A5">
        <w:t>’ table,</w:t>
      </w:r>
      <w:r w:rsidR="00725370">
        <w:rPr>
          <w:b/>
        </w:rPr>
        <w:t xml:space="preserve"> </w:t>
      </w:r>
      <w:r w:rsidR="004965A5">
        <w:t xml:space="preserve">tenderers </w:t>
      </w:r>
      <w:r w:rsidR="00725370">
        <w:t xml:space="preserve">are to </w:t>
      </w:r>
      <w:r>
        <w:t xml:space="preserve">explain the basis for the mark-ups, including in comparison to the margins for Recurring Services </w:t>
      </w:r>
      <w:r w:rsidR="00725370">
        <w:t xml:space="preserve">in the ‘Schedule of Margins’ </w:t>
      </w:r>
      <w:r w:rsidR="00177596">
        <w:t>worksheet</w:t>
      </w:r>
      <w:r w:rsidR="00725370">
        <w:t>.</w:t>
      </w:r>
    </w:p>
    <w:p w14:paraId="1C055196" w14:textId="77777777" w:rsidR="00BC7040" w:rsidRPr="00EB0ED9" w:rsidRDefault="00BC7040">
      <w:pPr>
        <w:pStyle w:val="ATTANNLV1-ASDEFCON"/>
      </w:pPr>
      <w:bookmarkStart w:id="13" w:name="_Ref520870319"/>
      <w:bookmarkStart w:id="14" w:name="_Ref530821824"/>
      <w:bookmarkStart w:id="15" w:name="_Toc3028320"/>
      <w:r w:rsidRPr="00EB0ED9">
        <w:t>ITEMS FOR WHICH SPECIFIC PRICES ARE REQUIRED (Core)</w:t>
      </w:r>
    </w:p>
    <w:p w14:paraId="13A4EB71" w14:textId="65783BF3" w:rsidR="009678F5" w:rsidRDefault="009678F5" w:rsidP="009678F5">
      <w:pPr>
        <w:pStyle w:val="NoteToDrafters-ASDEFCON"/>
      </w:pPr>
      <w:r>
        <w:t xml:space="preserve">Note to drafters:  </w:t>
      </w:r>
      <w:r w:rsidR="0077760D">
        <w:t>Dr</w:t>
      </w:r>
      <w:r>
        <w:t xml:space="preserve">afters should </w:t>
      </w:r>
      <w:r w:rsidR="0077760D">
        <w:t xml:space="preserve">consider items that require specific prices to be tendered </w:t>
      </w:r>
      <w:r>
        <w:t>and update</w:t>
      </w:r>
      <w:r w:rsidR="005A335C">
        <w:t xml:space="preserve"> </w:t>
      </w:r>
      <w:r>
        <w:t>the Specific Price Descriptions in the ‘Specific Prices’ worksheet</w:t>
      </w:r>
      <w:r w:rsidR="005A335C">
        <w:t xml:space="preserve"> as required</w:t>
      </w:r>
      <w:r>
        <w:t>.</w:t>
      </w:r>
      <w:r w:rsidR="000A5702">
        <w:t xml:space="preserve">  La</w:t>
      </w:r>
      <w:r w:rsidR="005A335C">
        <w:t>bels ‘</w:t>
      </w:r>
      <w:r w:rsidR="000A5702">
        <w:t>Optional</w:t>
      </w:r>
      <w:r w:rsidR="005A335C">
        <w:t>’</w:t>
      </w:r>
      <w:r w:rsidR="000A5702">
        <w:t xml:space="preserve">, </w:t>
      </w:r>
      <w:r w:rsidR="005A335C">
        <w:t>‘</w:t>
      </w:r>
      <w:r w:rsidR="000A5702">
        <w:t>Core</w:t>
      </w:r>
      <w:r w:rsidR="005A335C">
        <w:t>’</w:t>
      </w:r>
      <w:r w:rsidR="000A5702">
        <w:t xml:space="preserve"> and </w:t>
      </w:r>
      <w:r w:rsidR="005A335C">
        <w:t>‘</w:t>
      </w:r>
      <w:r w:rsidR="000A5702">
        <w:t>RFT Core</w:t>
      </w:r>
      <w:r w:rsidR="005A335C">
        <w:t>’</w:t>
      </w:r>
      <w:r w:rsidR="000A5702">
        <w:t xml:space="preserve"> assist in tailoring (delete these before RFT release).</w:t>
      </w:r>
    </w:p>
    <w:p w14:paraId="1317B4AC" w14:textId="1B1EA4E0" w:rsidR="00BC7040" w:rsidRPr="00EB0ED9" w:rsidRDefault="00BC7040">
      <w:pPr>
        <w:pStyle w:val="ATTANNLV2-ASDEFCON"/>
      </w:pPr>
      <w:r w:rsidRPr="00EB0ED9">
        <w:t xml:space="preserve">Tenderers </w:t>
      </w:r>
      <w:r w:rsidR="00920B5E" w:rsidRPr="00EB0ED9">
        <w:t>are to</w:t>
      </w:r>
      <w:r w:rsidRPr="00EB0ED9">
        <w:t xml:space="preserve"> complete </w:t>
      </w:r>
      <w:r w:rsidR="00736CCC">
        <w:t>the</w:t>
      </w:r>
      <w:r w:rsidR="00EA5158">
        <w:t xml:space="preserve"> </w:t>
      </w:r>
      <w:r w:rsidR="00736CCC">
        <w:t>‘</w:t>
      </w:r>
      <w:r w:rsidR="00EA5158" w:rsidRPr="00EB0ED9">
        <w:t>Specific Prices</w:t>
      </w:r>
      <w:r w:rsidR="00736CCC">
        <w:t xml:space="preserve">’ </w:t>
      </w:r>
      <w:r w:rsidR="0018360D">
        <w:t>worksheet</w:t>
      </w:r>
      <w:r w:rsidR="00736CCC">
        <w:t xml:space="preserve"> of the</w:t>
      </w:r>
      <w:r w:rsidR="00736CCC" w:rsidRPr="00725370">
        <w:t xml:space="preserve"> </w:t>
      </w:r>
      <w:r w:rsidR="00E1703D">
        <w:t>SPTPW</w:t>
      </w:r>
      <w:r w:rsidR="00EA5158">
        <w:t>.</w:t>
      </w:r>
    </w:p>
    <w:p w14:paraId="1B517335" w14:textId="4A78D833" w:rsidR="00BC7040" w:rsidRPr="009445A0" w:rsidRDefault="00871DE9">
      <w:pPr>
        <w:pStyle w:val="ATTANNLV1-ASDEFCON"/>
      </w:pPr>
      <w:bookmarkStart w:id="16" w:name="_Ref385240826"/>
      <w:r w:rsidRPr="009445A0">
        <w:t xml:space="preserve">proposed PAYMENT SCHEDULE </w:t>
      </w:r>
      <w:r w:rsidR="00BC7040" w:rsidRPr="009445A0">
        <w:t>(</w:t>
      </w:r>
      <w:r w:rsidRPr="009445A0">
        <w:t>CORE</w:t>
      </w:r>
      <w:r w:rsidR="00BC7040" w:rsidRPr="009445A0">
        <w:t>)</w:t>
      </w:r>
      <w:bookmarkEnd w:id="13"/>
      <w:bookmarkEnd w:id="14"/>
      <w:bookmarkEnd w:id="15"/>
      <w:bookmarkEnd w:id="16"/>
    </w:p>
    <w:p w14:paraId="4C41C549" w14:textId="6CADF007" w:rsidR="00206A16" w:rsidRPr="00084532" w:rsidRDefault="0088382C" w:rsidP="00260D4F">
      <w:pPr>
        <w:pStyle w:val="NoteToTenderers-ASDEFCON"/>
      </w:pPr>
      <w:r w:rsidRPr="00084532">
        <w:t xml:space="preserve">Note to tenderers: </w:t>
      </w:r>
      <w:r w:rsidR="00B9699F">
        <w:t>The Commonwealth uses the Proposed Payment Schedule to gain a better understanding of the cash flow requirements of any resulting Contract</w:t>
      </w:r>
      <w:r w:rsidR="00143AF9" w:rsidRPr="00084532">
        <w:t>.</w:t>
      </w:r>
    </w:p>
    <w:p w14:paraId="7DF641FA" w14:textId="4DC9EC43" w:rsidR="00C2078E" w:rsidRDefault="00C2078E">
      <w:pPr>
        <w:pStyle w:val="ATTANNLV2-ASDEFCON"/>
      </w:pPr>
      <w:r w:rsidRPr="00260D4F">
        <w:t>Tenderers are to detail how the proposed payment regime relates to the tenderer's anticipated work progress and cash flow under any resultant Contract.</w:t>
      </w:r>
    </w:p>
    <w:p w14:paraId="22AEA8B8" w14:textId="1F9B20A2" w:rsidR="009E3390" w:rsidRDefault="009E3390" w:rsidP="00A4717C">
      <w:pPr>
        <w:pStyle w:val="ATTANNLV2-ASDEFCON"/>
      </w:pPr>
      <w:bookmarkStart w:id="17" w:name="_Ref78987707"/>
      <w:r>
        <w:lastRenderedPageBreak/>
        <w:t>Tenderers are to complete the ‘</w:t>
      </w:r>
      <w:r w:rsidR="001103ED">
        <w:t xml:space="preserve">Proposed Payment Schedule’ </w:t>
      </w:r>
      <w:r>
        <w:t>worksheet of the SPTPW</w:t>
      </w:r>
      <w:r w:rsidR="00903C51">
        <w:t xml:space="preserve"> to provide a consolidated schedule of payments</w:t>
      </w:r>
      <w:r>
        <w:t>.</w:t>
      </w:r>
    </w:p>
    <w:p w14:paraId="7BF8D118" w14:textId="6F41D9CC" w:rsidR="00BC7040" w:rsidRDefault="00BC7040">
      <w:pPr>
        <w:pStyle w:val="ATTANNLV1-ASDEFCON"/>
      </w:pPr>
      <w:bookmarkStart w:id="18" w:name="_Toc531858809"/>
      <w:bookmarkStart w:id="19" w:name="_Ref79502386"/>
      <w:bookmarkStart w:id="20" w:name="_Ref82436983"/>
      <w:bookmarkEnd w:id="17"/>
      <w:r w:rsidRPr="00272A08">
        <w:t>adjustment</w:t>
      </w:r>
      <w:r w:rsidR="00D02F8E">
        <w:t>S</w:t>
      </w:r>
      <w:r w:rsidRPr="00272A08">
        <w:t xml:space="preserve"> (</w:t>
      </w:r>
      <w:r w:rsidR="00020818" w:rsidRPr="00272A08">
        <w:t>CORE</w:t>
      </w:r>
      <w:r w:rsidRPr="00272A08">
        <w:t>)</w:t>
      </w:r>
      <w:bookmarkEnd w:id="18"/>
      <w:bookmarkEnd w:id="19"/>
      <w:bookmarkEnd w:id="20"/>
    </w:p>
    <w:p w14:paraId="137A7C55" w14:textId="7AC471B5" w:rsidR="0014661E" w:rsidRDefault="0014661E" w:rsidP="00073319">
      <w:pPr>
        <w:pStyle w:val="ATTANNReferencetoCOC"/>
      </w:pPr>
      <w:r w:rsidRPr="00E104BB">
        <w:t>Draft COC reference: clause</w:t>
      </w:r>
      <w:r w:rsidR="000849FA">
        <w:t xml:space="preserve">s </w:t>
      </w:r>
      <w:r w:rsidRPr="00E104BB">
        <w:t>7.</w:t>
      </w:r>
      <w:r w:rsidR="004E3296" w:rsidRPr="00E104BB">
        <w:t>3</w:t>
      </w:r>
      <w:r w:rsidR="000849FA" w:rsidRPr="000849FA">
        <w:t xml:space="preserve"> </w:t>
      </w:r>
      <w:r w:rsidR="000849FA">
        <w:t>and 7.4</w:t>
      </w:r>
    </w:p>
    <w:p w14:paraId="3FC4DB86" w14:textId="5E25419B" w:rsidR="007977E7" w:rsidRDefault="007977E7" w:rsidP="007977E7">
      <w:pPr>
        <w:pStyle w:val="NoteToDrafters-ASDEFCON"/>
      </w:pPr>
      <w:r>
        <w:t xml:space="preserve">Note to drafters:  Prior to RFT release, confirm with Financial Investigation Services (FIS) that the foreign exchange rates included in the </w:t>
      </w:r>
      <w:r w:rsidR="005E2016">
        <w:t>SPTPW</w:t>
      </w:r>
      <w:r>
        <w:t xml:space="preserve"> ‘Constants’ </w:t>
      </w:r>
      <w:r w:rsidR="00177596">
        <w:t>worksheet</w:t>
      </w:r>
      <w:r>
        <w:t xml:space="preserve"> are current and suitable for the purposes of the tender.</w:t>
      </w:r>
    </w:p>
    <w:p w14:paraId="004EDF54" w14:textId="19810A0E" w:rsidR="00DE1037" w:rsidRPr="00EB0ED9" w:rsidRDefault="00DE1037" w:rsidP="00DE1037">
      <w:pPr>
        <w:pStyle w:val="NoteToTenderers-ASDEFCON"/>
      </w:pPr>
      <w:r>
        <w:t>Note to tenderers: S</w:t>
      </w:r>
      <w:r w:rsidRPr="00BE19D0">
        <w:t xml:space="preserve">ubject to negotiations, </w:t>
      </w:r>
      <w:r w:rsidRPr="005E7E79">
        <w:rPr>
          <w:szCs w:val="20"/>
        </w:rPr>
        <w:t xml:space="preserve">the preferred tenderer’s </w:t>
      </w:r>
      <w:r>
        <w:rPr>
          <w:szCs w:val="20"/>
        </w:rPr>
        <w:t>indices and component weightings for adjustment calculations</w:t>
      </w:r>
      <w:r w:rsidRPr="005E7E79">
        <w:rPr>
          <w:szCs w:val="20"/>
        </w:rPr>
        <w:t xml:space="preserve"> </w:t>
      </w:r>
      <w:r w:rsidRPr="00BE19D0">
        <w:t xml:space="preserve">will be included in </w:t>
      </w:r>
      <w:r w:rsidRPr="00C3345D">
        <w:t xml:space="preserve">Annex </w:t>
      </w:r>
      <w:r>
        <w:t>F</w:t>
      </w:r>
      <w:r w:rsidRPr="00BE19D0">
        <w:t xml:space="preserve"> to Attachment B to the draft</w:t>
      </w:r>
      <w:r>
        <w:t xml:space="preserve"> COC.</w:t>
      </w:r>
    </w:p>
    <w:p w14:paraId="76B0564A" w14:textId="43805C36" w:rsidR="007977E7" w:rsidRDefault="005971A9" w:rsidP="007977E7">
      <w:pPr>
        <w:pStyle w:val="NoteToTenderers-ASDEFCON"/>
        <w:rPr>
          <w:rStyle w:val="Hyperlink"/>
        </w:rPr>
      </w:pPr>
      <w:r>
        <w:t xml:space="preserve">When payments under any resultant Contract will </w:t>
      </w:r>
      <w:r w:rsidR="007977E7">
        <w:t>include significant component costs in foreign currencies, it is Defence policy to pay those amounts in the source currency rather than Australian dollars (including to avoid contingency funding or currency hedging under any resultant Contract – see ‘</w:t>
      </w:r>
      <w:r w:rsidR="007977E7" w:rsidRPr="00100079">
        <w:t>Australian Government foreign exchange risk management – guidelines for entities – Resource Management Guide (RMG) 120’</w:t>
      </w:r>
      <w:r w:rsidR="007977E7" w:rsidRPr="00187C5B">
        <w:t xml:space="preserve"> </w:t>
      </w:r>
      <w:r w:rsidR="007977E7">
        <w:t xml:space="preserve">and the </w:t>
      </w:r>
      <w:r w:rsidR="007977E7" w:rsidRPr="00100079">
        <w:t>CASG Cost Principles</w:t>
      </w:r>
      <w:r w:rsidR="007977E7">
        <w:t>):</w:t>
      </w:r>
    </w:p>
    <w:p w14:paraId="65EB5B3A" w14:textId="0ABD9A78" w:rsidR="007977E7" w:rsidRPr="00100079" w:rsidRDefault="006F19DE" w:rsidP="007977E7">
      <w:pPr>
        <w:pStyle w:val="NoteToTenderersBullets-ASDEFCON"/>
        <w:rPr>
          <w:color w:val="auto"/>
          <w:u w:val="single"/>
        </w:rPr>
      </w:pPr>
      <w:hyperlink r:id="rId10" w:history="1">
        <w:r w:rsidR="007977E7" w:rsidRPr="00187C5B">
          <w:rPr>
            <w:rStyle w:val="Hyperlink"/>
          </w:rPr>
          <w:t>https://www.finance.gov.au/government/managing-commonwealth-resources/managing-risk-internal-accountab</w:t>
        </w:r>
        <w:r w:rsidR="007977E7" w:rsidRPr="00187C5B">
          <w:rPr>
            <w:rStyle w:val="Hyperlink"/>
          </w:rPr>
          <w:t>i</w:t>
        </w:r>
        <w:r w:rsidR="007977E7" w:rsidRPr="00187C5B">
          <w:rPr>
            <w:rStyle w:val="Hyperlink"/>
          </w:rPr>
          <w:t>lity/foreign-exchange-risk-management</w:t>
        </w:r>
      </w:hyperlink>
      <w:r w:rsidR="007977E7" w:rsidRPr="00100079">
        <w:rPr>
          <w:color w:val="auto"/>
        </w:rPr>
        <w:t>;</w:t>
      </w:r>
    </w:p>
    <w:p w14:paraId="1117B423" w14:textId="26DBA425" w:rsidR="007977E7" w:rsidRDefault="006F19DE" w:rsidP="007977E7">
      <w:pPr>
        <w:pStyle w:val="NoteToTenderersBullets-ASDEFCON"/>
      </w:pPr>
      <w:hyperlink r:id="rId11" w:history="1">
        <w:r w:rsidR="005E56FF">
          <w:rPr>
            <w:rStyle w:val="Hyperlink"/>
          </w:rPr>
          <w:t>https://www.defence.gov.au/business-industry/procurement/policies-guidelines-templates/cost-principles</w:t>
        </w:r>
      </w:hyperlink>
      <w:r w:rsidR="007977E7">
        <w:t>.</w:t>
      </w:r>
    </w:p>
    <w:p w14:paraId="5566640D" w14:textId="5799A058" w:rsidR="007977E7" w:rsidRDefault="007977E7" w:rsidP="007977E7">
      <w:pPr>
        <w:pStyle w:val="NoteToTenderers-ASDEFCON"/>
      </w:pPr>
      <w:r w:rsidRPr="00BE19D0">
        <w:t>The Commonwealth will only make payments in Australian currency when the foreign currency amounts are insignificant</w:t>
      </w:r>
      <w:r>
        <w:t xml:space="preserve">, in which case the Contract may be written in Australian dollars with adjustments allowed for exchange rate fluctuations.  What is ‘significant’ </w:t>
      </w:r>
      <w:r w:rsidR="0027247F">
        <w:t>will be</w:t>
      </w:r>
      <w:r>
        <w:t xml:space="preserve"> determined by </w:t>
      </w:r>
      <w:r w:rsidRPr="00BE19D0">
        <w:t>Defence following receipt of tenders</w:t>
      </w:r>
      <w:r>
        <w:t xml:space="preserve">; </w:t>
      </w:r>
      <w:r w:rsidR="005E2016">
        <w:t xml:space="preserve">however, </w:t>
      </w:r>
      <w:r w:rsidRPr="00605C30">
        <w:t xml:space="preserve">costs of AUD$1 million or more </w:t>
      </w:r>
      <w:r w:rsidR="0054560F" w:rsidRPr="00605C30">
        <w:t>per annum</w:t>
      </w:r>
      <w:r w:rsidR="0054560F">
        <w:t xml:space="preserve"> </w:t>
      </w:r>
      <w:r w:rsidR="00605C30">
        <w:t>may</w:t>
      </w:r>
      <w:r>
        <w:t xml:space="preserve"> be considered significant.</w:t>
      </w:r>
    </w:p>
    <w:p w14:paraId="54192F8C" w14:textId="4A588EDC" w:rsidR="007977E7" w:rsidRDefault="007977E7" w:rsidP="007977E7">
      <w:pPr>
        <w:pStyle w:val="NoteToTenderers-ASDEFCON"/>
      </w:pPr>
      <w:r w:rsidRPr="00AC72C0">
        <w:t xml:space="preserve">For the purposes of evaluation, any foreign currency element of a tendered price for which an exchange rate is not included in the ‘constants’ </w:t>
      </w:r>
      <w:r w:rsidR="00177596">
        <w:t>worksheet</w:t>
      </w:r>
      <w:r w:rsidRPr="00AC72C0">
        <w:t xml:space="preserve"> of the </w:t>
      </w:r>
      <w:r w:rsidR="004A4ED2">
        <w:t>SPTPW</w:t>
      </w:r>
      <w:r w:rsidRPr="00AC72C0">
        <w:t xml:space="preserve">, may be added to the ‘constants’ </w:t>
      </w:r>
      <w:r w:rsidR="00177596">
        <w:t>worksheet</w:t>
      </w:r>
      <w:r w:rsidRPr="00AC72C0">
        <w:t xml:space="preserve"> by replacing one of the foreign currencies that will not be used</w:t>
      </w:r>
      <w:r>
        <w:t xml:space="preserve"> (this preserves the functionality of the workbook)</w:t>
      </w:r>
      <w:r w:rsidRPr="00AC72C0">
        <w:t xml:space="preserve">. </w:t>
      </w:r>
      <w:r>
        <w:t xml:space="preserve"> </w:t>
      </w:r>
      <w:r w:rsidRPr="00AC72C0">
        <w:t>Exchange rates will be updated with the spot rate of exchange against the Australian dollar, as quoted by the Reserve Bank of Australia, at the Base Date.</w:t>
      </w:r>
    </w:p>
    <w:p w14:paraId="6541EC1E" w14:textId="7E39D05E" w:rsidR="007977E7" w:rsidRDefault="007977E7" w:rsidP="007977E7">
      <w:pPr>
        <w:pStyle w:val="ATTANNLV2-ASDEFCON"/>
      </w:pPr>
      <w:r>
        <w:t xml:space="preserve">Tenderers are to populate the </w:t>
      </w:r>
      <w:r w:rsidR="004A4ED2">
        <w:t>SPTPW</w:t>
      </w:r>
      <w:r>
        <w:t xml:space="preserve"> using, as applicable:</w:t>
      </w:r>
    </w:p>
    <w:p w14:paraId="2D0C2812" w14:textId="77777777" w:rsidR="007977E7" w:rsidRDefault="007977E7" w:rsidP="007977E7">
      <w:pPr>
        <w:pStyle w:val="ATTANNLV3-ASDEFCON"/>
      </w:pPr>
      <w:r>
        <w:t>Australian dollars; and</w:t>
      </w:r>
    </w:p>
    <w:p w14:paraId="466A06F7" w14:textId="77777777" w:rsidR="007977E7" w:rsidRDefault="007977E7" w:rsidP="007977E7">
      <w:pPr>
        <w:pStyle w:val="ATTANNLV3-ASDEFCON"/>
      </w:pPr>
      <w:r>
        <w:t>foreign currencies, for all significant cost components where the applicable goods and services will be sourced in foreign currency.</w:t>
      </w:r>
    </w:p>
    <w:p w14:paraId="101BE010" w14:textId="32C43785" w:rsidR="007977E7" w:rsidRPr="00E104BB" w:rsidRDefault="0054560F" w:rsidP="0054560F">
      <w:pPr>
        <w:pStyle w:val="NoteToTenderers-ASDEFCON"/>
      </w:pPr>
      <w:r>
        <w:t xml:space="preserve">Note to tenderers: </w:t>
      </w:r>
      <w:r w:rsidRPr="00715BD9">
        <w:t xml:space="preserve"> </w:t>
      </w:r>
      <w:r w:rsidRPr="00BE19D0">
        <w:t xml:space="preserve">If the Commonwealth determines that </w:t>
      </w:r>
      <w:r>
        <w:t xml:space="preserve">portions </w:t>
      </w:r>
      <w:r w:rsidRPr="00330B07">
        <w:t>of the pricing for</w:t>
      </w:r>
      <w:r>
        <w:t xml:space="preserve"> </w:t>
      </w:r>
      <w:r w:rsidRPr="00BE19D0">
        <w:t xml:space="preserve">any resultant </w:t>
      </w:r>
      <w:r>
        <w:t>C</w:t>
      </w:r>
      <w:r w:rsidRPr="00BE19D0">
        <w:t xml:space="preserve">ontract will </w:t>
      </w:r>
      <w:r>
        <w:t xml:space="preserve">require </w:t>
      </w:r>
      <w:r w:rsidRPr="00BE19D0">
        <w:t>adjustment for exchange rate fluctuation</w:t>
      </w:r>
      <w:r>
        <w:t xml:space="preserve"> (ie, the cost is based in foreign currency but will be paid in $AUD)</w:t>
      </w:r>
      <w:r w:rsidRPr="00BE19D0">
        <w:t xml:space="preserve">, the Commonwealth will negotiate </w:t>
      </w:r>
      <w:r>
        <w:t xml:space="preserve">appropriate </w:t>
      </w:r>
      <w:r w:rsidRPr="00BE19D0">
        <w:t>provisions with the s</w:t>
      </w:r>
      <w:r>
        <w:t>uccessful tenderer</w:t>
      </w:r>
      <w:r w:rsidRPr="00BE19D0">
        <w:t>.</w:t>
      </w:r>
    </w:p>
    <w:p w14:paraId="5D009109" w14:textId="77777777" w:rsidR="00BC7040" w:rsidRPr="00E104BB" w:rsidRDefault="00BC7040">
      <w:pPr>
        <w:pStyle w:val="ATTANNLV2-ASDEFCON"/>
      </w:pPr>
      <w:r w:rsidRPr="00E104BB">
        <w:t xml:space="preserve">Tenderers </w:t>
      </w:r>
      <w:r w:rsidR="005328A3" w:rsidRPr="00E104BB">
        <w:t>are to</w:t>
      </w:r>
      <w:r w:rsidRPr="00E104BB">
        <w:t xml:space="preserve"> provide the following information which will be necessary in the event that </w:t>
      </w:r>
      <w:r w:rsidR="001A05AA" w:rsidRPr="00E104BB">
        <w:t>any</w:t>
      </w:r>
      <w:r w:rsidRPr="00E104BB">
        <w:t xml:space="preserve"> resultant </w:t>
      </w:r>
      <w:r w:rsidR="0083780F" w:rsidRPr="00E104BB">
        <w:t>C</w:t>
      </w:r>
      <w:r w:rsidRPr="00E104BB">
        <w:t xml:space="preserve">ontract is written in Australian dollars and the </w:t>
      </w:r>
      <w:r w:rsidR="00F1058A" w:rsidRPr="00E104BB">
        <w:t>payments provided for under any resultant</w:t>
      </w:r>
      <w:r w:rsidR="0039431C" w:rsidRPr="00E104BB">
        <w:t xml:space="preserve"> Contract</w:t>
      </w:r>
      <w:r w:rsidRPr="00E104BB">
        <w:t xml:space="preserve"> </w:t>
      </w:r>
      <w:r w:rsidR="00F1058A" w:rsidRPr="00E104BB">
        <w:t>are</w:t>
      </w:r>
      <w:r w:rsidRPr="00E104BB">
        <w:t xml:space="preserve"> subject to adjustment for exchange rate fluctuations:</w:t>
      </w:r>
    </w:p>
    <w:p w14:paraId="79C8DD09" w14:textId="7D403BD9" w:rsidR="00BC7040" w:rsidRPr="00E104BB" w:rsidRDefault="00BC7040">
      <w:pPr>
        <w:pStyle w:val="ATTANNLV3-ASDEFCON"/>
      </w:pPr>
      <w:r w:rsidRPr="00E104BB">
        <w:t xml:space="preserve">percentage of </w:t>
      </w:r>
      <w:r w:rsidR="000849FA">
        <w:t xml:space="preserve">the </w:t>
      </w:r>
      <w:r w:rsidRPr="00E104BB">
        <w:t xml:space="preserve">tendered price </w:t>
      </w:r>
      <w:r w:rsidR="000849FA">
        <w:t xml:space="preserve">(inclusive of all duties and charges) that is proposed to be </w:t>
      </w:r>
      <w:r w:rsidRPr="00E104BB">
        <w:t>subject to adjustment for exchange rate fluctuations (as a percentage of the tendered price and per currency if applicable);</w:t>
      </w:r>
    </w:p>
    <w:p w14:paraId="29D48926" w14:textId="5A746EF8" w:rsidR="00BC7040" w:rsidRPr="00E104BB" w:rsidRDefault="00BC7040">
      <w:pPr>
        <w:pStyle w:val="ATTANNLV3-ASDEFCON"/>
      </w:pPr>
      <w:r w:rsidRPr="00E104BB">
        <w:t>exchange rate upon which the tendered price is based: $A1 = (</w:t>
      </w:r>
      <w:r w:rsidR="000849FA" w:rsidRPr="00E104BB">
        <w:t xml:space="preserve">foreign </w:t>
      </w:r>
      <w:r w:rsidRPr="00E104BB">
        <w:t xml:space="preserve">currency); and </w:t>
      </w:r>
    </w:p>
    <w:p w14:paraId="599E396A" w14:textId="1BDBD71D" w:rsidR="00BC7040" w:rsidRDefault="00BC7040">
      <w:pPr>
        <w:pStyle w:val="ATTANNLV3-ASDEFCON"/>
      </w:pPr>
      <w:r w:rsidRPr="00E104BB">
        <w:t xml:space="preserve">name and address of </w:t>
      </w:r>
      <w:r w:rsidR="00BD5F3F" w:rsidRPr="00E104BB">
        <w:t xml:space="preserve">the </w:t>
      </w:r>
      <w:r w:rsidRPr="00E104BB">
        <w:t xml:space="preserve">bank or financial institution whose rates </w:t>
      </w:r>
      <w:r w:rsidR="000849FA">
        <w:t xml:space="preserve">have been used in tender preparation or </w:t>
      </w:r>
      <w:r w:rsidR="000849FA" w:rsidRPr="00BE19D0">
        <w:t xml:space="preserve">are </w:t>
      </w:r>
      <w:r w:rsidR="000849FA">
        <w:t xml:space="preserve">proposed to be </w:t>
      </w:r>
      <w:r w:rsidR="000849FA" w:rsidRPr="00BE19D0">
        <w:t>applicable</w:t>
      </w:r>
      <w:r w:rsidR="000849FA">
        <w:t xml:space="preserve"> to any resultant Contract, including reasoning, if different from or additional to those included in the ‘constants’ </w:t>
      </w:r>
      <w:r w:rsidR="00177596">
        <w:t>worksheet</w:t>
      </w:r>
      <w:r w:rsidR="000849FA">
        <w:t xml:space="preserve"> of the </w:t>
      </w:r>
      <w:r w:rsidR="004A4ED2">
        <w:t>SPTPW</w:t>
      </w:r>
      <w:r w:rsidRPr="00E104BB">
        <w:t>.</w:t>
      </w:r>
    </w:p>
    <w:p w14:paraId="6F827551" w14:textId="5D8B0745" w:rsidR="0014661E" w:rsidRPr="00E104BB" w:rsidRDefault="0014661E" w:rsidP="00DF345C">
      <w:pPr>
        <w:pStyle w:val="ATTANNReferencetoCOC"/>
      </w:pPr>
      <w:r w:rsidRPr="00E104BB">
        <w:lastRenderedPageBreak/>
        <w:t>Draft COC reference: clause 7.</w:t>
      </w:r>
      <w:r w:rsidR="004F7D69">
        <w:t>4</w:t>
      </w:r>
    </w:p>
    <w:p w14:paraId="7ADB97F6" w14:textId="1F5E6361" w:rsidR="006809FA" w:rsidRPr="00E104BB" w:rsidRDefault="006809FA">
      <w:pPr>
        <w:pStyle w:val="NoteToTenderers-ASDEFCON"/>
      </w:pPr>
      <w:r w:rsidRPr="00E104BB">
        <w:t xml:space="preserve">Note to tenderers:  </w:t>
      </w:r>
      <w:r w:rsidR="0014661E" w:rsidRPr="00E104BB">
        <w:t xml:space="preserve">The </w:t>
      </w:r>
      <w:r w:rsidR="00D377DD" w:rsidRPr="00E104BB">
        <w:t>p</w:t>
      </w:r>
      <w:r w:rsidR="0014661E" w:rsidRPr="00E104BB">
        <w:t>rice</w:t>
      </w:r>
      <w:r w:rsidR="00F82D28">
        <w:t>s</w:t>
      </w:r>
      <w:r w:rsidR="0014661E" w:rsidRPr="00E104BB">
        <w:t xml:space="preserve"> of any resultant </w:t>
      </w:r>
      <w:r w:rsidR="00F82D28">
        <w:t>C</w:t>
      </w:r>
      <w:r w:rsidR="0014661E" w:rsidRPr="00E104BB">
        <w:t xml:space="preserve">ontract will be subject to </w:t>
      </w:r>
      <w:r w:rsidR="00FD097A" w:rsidRPr="00E104BB">
        <w:t xml:space="preserve">the proposed </w:t>
      </w:r>
      <w:r w:rsidR="0014661E" w:rsidRPr="00E104BB">
        <w:t xml:space="preserve">adjustment reflecting fluctuations in the cost of labour and materials in accordance with the </w:t>
      </w:r>
      <w:r w:rsidR="00F82D28">
        <w:t xml:space="preserve">proposed </w:t>
      </w:r>
      <w:r w:rsidR="0014661E" w:rsidRPr="00E104BB">
        <w:t>formulae</w:t>
      </w:r>
      <w:r w:rsidR="00FD097A" w:rsidRPr="00E104BB">
        <w:t xml:space="preserve"> </w:t>
      </w:r>
      <w:r w:rsidR="00911304">
        <w:t xml:space="preserve">at </w:t>
      </w:r>
      <w:r w:rsidR="00A2215F">
        <w:t xml:space="preserve">clause </w:t>
      </w:r>
      <w:r w:rsidR="00330B07">
        <w:t>7</w:t>
      </w:r>
      <w:r w:rsidR="00A2215F">
        <w:t xml:space="preserve"> </w:t>
      </w:r>
      <w:r w:rsidR="00330B07">
        <w:t>of</w:t>
      </w:r>
      <w:r w:rsidR="00911304">
        <w:t xml:space="preserve"> Attachment B to the draft COC</w:t>
      </w:r>
      <w:r w:rsidR="00746EEA" w:rsidRPr="00E104BB">
        <w:t xml:space="preserve">.  </w:t>
      </w:r>
      <w:r w:rsidR="00911304">
        <w:t>W</w:t>
      </w:r>
      <w:r w:rsidRPr="00E104BB">
        <w:t xml:space="preserve">orkplace enterprise bargaining </w:t>
      </w:r>
      <w:r w:rsidR="00911304" w:rsidRPr="00E104BB">
        <w:t xml:space="preserve">agreements </w:t>
      </w:r>
      <w:r w:rsidRPr="00E104BB">
        <w:t xml:space="preserve">are not considered to be awards for the purposes of the formula </w:t>
      </w:r>
      <w:r w:rsidR="008D619F">
        <w:t>for fluctuation</w:t>
      </w:r>
      <w:r w:rsidR="00911304">
        <w:t>s</w:t>
      </w:r>
      <w:r w:rsidR="008D619F">
        <w:t xml:space="preserve"> in the cost of labour</w:t>
      </w:r>
      <w:r w:rsidRPr="00E104BB">
        <w:t>.</w:t>
      </w:r>
    </w:p>
    <w:p w14:paraId="5561BC2A" w14:textId="680CA348" w:rsidR="006809FA" w:rsidRPr="00E104BB" w:rsidRDefault="006809FA">
      <w:pPr>
        <w:pStyle w:val="ATTANNLV2-ASDEFCON"/>
      </w:pPr>
      <w:r w:rsidRPr="00E104BB">
        <w:t xml:space="preserve">Tenderers are to provide the following details in relation to the proposed formulae </w:t>
      </w:r>
      <w:r w:rsidR="00911304">
        <w:t xml:space="preserve">contained at </w:t>
      </w:r>
      <w:r w:rsidR="00A2215F">
        <w:t xml:space="preserve">clause </w:t>
      </w:r>
      <w:r w:rsidR="00330B07" w:rsidRPr="00330B07">
        <w:t>7</w:t>
      </w:r>
      <w:r w:rsidR="00911304" w:rsidRPr="00330B07">
        <w:t xml:space="preserve"> </w:t>
      </w:r>
      <w:r w:rsidR="00330B07" w:rsidRPr="00250C94">
        <w:t>of</w:t>
      </w:r>
      <w:r w:rsidR="00911304">
        <w:t xml:space="preserve"> Attachment B to the draft COC</w:t>
      </w:r>
      <w:r w:rsidRPr="00E104BB">
        <w:t>:</w:t>
      </w:r>
    </w:p>
    <w:p w14:paraId="217C8495" w14:textId="6694BB9D" w:rsidR="006809FA" w:rsidRPr="00E104BB" w:rsidRDefault="006809FA">
      <w:pPr>
        <w:pStyle w:val="ATTANNLV3-ASDEFCON"/>
      </w:pPr>
      <w:r w:rsidRPr="00E104BB">
        <w:t>acceptability or otherwise of the formulae;</w:t>
      </w:r>
      <w:r w:rsidR="00E75DF7">
        <w:t xml:space="preserve"> and</w:t>
      </w:r>
    </w:p>
    <w:p w14:paraId="7EBFF02E" w14:textId="77777777" w:rsidR="006211EA" w:rsidRDefault="006809FA">
      <w:pPr>
        <w:pStyle w:val="ATTANNLV3-ASDEFCON"/>
      </w:pPr>
      <w:r w:rsidRPr="00E104BB">
        <w:t>if unacceptable, any proposed alteration(s) or alternative(s)</w:t>
      </w:r>
      <w:r w:rsidR="00E75DF7">
        <w:t>.</w:t>
      </w:r>
    </w:p>
    <w:p w14:paraId="5E335A13" w14:textId="1444096D" w:rsidR="006809FA" w:rsidRDefault="00E75DF7" w:rsidP="00250C94">
      <w:pPr>
        <w:pStyle w:val="ATTANNLV2-ASDEFCON"/>
      </w:pPr>
      <w:r>
        <w:t>T</w:t>
      </w:r>
      <w:r w:rsidR="006809FA" w:rsidRPr="00E104BB">
        <w:t xml:space="preserve">enderers </w:t>
      </w:r>
      <w:r>
        <w:t>are to review the</w:t>
      </w:r>
      <w:r w:rsidRPr="00EB0ED9">
        <w:t xml:space="preserve"> </w:t>
      </w:r>
      <w:r w:rsidR="006809FA" w:rsidRPr="00EB0ED9">
        <w:t>indices proposed by the Commonwealth</w:t>
      </w:r>
      <w:r w:rsidR="008D619F">
        <w:t xml:space="preserve"> </w:t>
      </w:r>
      <w:r w:rsidR="00911304">
        <w:t xml:space="preserve">in </w:t>
      </w:r>
      <w:r w:rsidR="00D91079">
        <w:t xml:space="preserve">the ‘Adjustments’ worksheet of the </w:t>
      </w:r>
      <w:r w:rsidR="004A4ED2">
        <w:t>SPTPW</w:t>
      </w:r>
      <w:r>
        <w:t xml:space="preserve"> and, if</w:t>
      </w:r>
      <w:r w:rsidRPr="00EB0ED9">
        <w:t xml:space="preserve"> </w:t>
      </w:r>
      <w:r>
        <w:t>applicable, propose any preferred alternative</w:t>
      </w:r>
      <w:r w:rsidRPr="00EB0ED9">
        <w:t xml:space="preserve"> </w:t>
      </w:r>
      <w:r>
        <w:t>or additional indices</w:t>
      </w:r>
      <w:r w:rsidR="006809FA" w:rsidRPr="00EB0ED9">
        <w:t>.</w:t>
      </w:r>
      <w:r w:rsidR="00126EBB">
        <w:t xml:space="preserve">  </w:t>
      </w:r>
      <w:r w:rsidR="006809FA" w:rsidRPr="00EB0ED9">
        <w:t>In proposing preferred indices, tenderers should take into consideration the notes provided following the formula</w:t>
      </w:r>
      <w:r w:rsidR="00911304">
        <w:t xml:space="preserve"> at </w:t>
      </w:r>
      <w:r w:rsidR="00A2215F">
        <w:t xml:space="preserve">clause </w:t>
      </w:r>
      <w:r>
        <w:t>7 of</w:t>
      </w:r>
      <w:r w:rsidR="00911304">
        <w:t xml:space="preserve"> Attachment B to the draft COC</w:t>
      </w:r>
      <w:r w:rsidR="006809FA" w:rsidRPr="00EB0ED9">
        <w:t>.</w:t>
      </w:r>
    </w:p>
    <w:p w14:paraId="5F6DD91C" w14:textId="460375F6" w:rsidR="00185FA6" w:rsidRDefault="00724058" w:rsidP="00185FA6">
      <w:pPr>
        <w:pStyle w:val="NoteToDrafters-ASDEFCON"/>
      </w:pPr>
      <w:r>
        <w:t>Note to drafters: The SPTPW includes two options for specifying indices for Adjustments</w:t>
      </w:r>
      <w:r w:rsidR="00334186">
        <w:t>;</w:t>
      </w:r>
      <w:r>
        <w:t xml:space="preserve"> a simple method and a more complex method</w:t>
      </w:r>
      <w:r w:rsidR="00334186">
        <w:t>.  R</w:t>
      </w:r>
      <w:r>
        <w:t xml:space="preserve">efer to Attachment B and the SPTPW for further details. </w:t>
      </w:r>
      <w:r w:rsidR="00334186">
        <w:t>If</w:t>
      </w:r>
      <w:r>
        <w:t xml:space="preserve"> the more complex method is required (eg, to provide greater accuracy for Prescribed ACE Percentages), drafters should include the following optional clause.</w:t>
      </w:r>
      <w:r w:rsidR="00847219">
        <w:t xml:space="preserve">  If a Contractor Standing Capability (CSC) module is included in the draft Contract, amend the following clause to include indices for the CSC worksheet.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847219" w14:paraId="4A8FBC8B" w14:textId="77777777" w:rsidTr="00847219">
        <w:tc>
          <w:tcPr>
            <w:tcW w:w="9071" w:type="dxa"/>
            <w:shd w:val="clear" w:color="auto" w:fill="auto"/>
          </w:tcPr>
          <w:p w14:paraId="0740F85F" w14:textId="396E7394" w:rsidR="00847219" w:rsidRDefault="00847219" w:rsidP="00847219">
            <w:pPr>
              <w:pStyle w:val="ASDEFCONOption"/>
            </w:pPr>
            <w:r>
              <w:t>Option: Include this option when using the more complex Adjustments worksheet.</w:t>
            </w:r>
          </w:p>
          <w:p w14:paraId="1950C484" w14:textId="45BD54CE" w:rsidR="00847219" w:rsidRPr="00847219" w:rsidRDefault="00847219" w:rsidP="00847219">
            <w:pPr>
              <w:pStyle w:val="ATTANNLV2-ASDEFCON"/>
            </w:pPr>
            <w:r>
              <w:t>Tenderers are to identify</w:t>
            </w:r>
            <w:r w:rsidR="00426909">
              <w:t>,</w:t>
            </w:r>
            <w:r>
              <w:t xml:space="preserve"> in the Adjustments worksheet of the SPTPW, which indices would be applied to different prices within the Core Services, Excluded Services, Task-Priced Services, S&amp;Q Services and Milestone Schedule worksheets.</w:t>
            </w:r>
          </w:p>
        </w:tc>
      </w:tr>
    </w:tbl>
    <w:p w14:paraId="4060D678" w14:textId="6909C286" w:rsidR="00847219" w:rsidRDefault="00426909" w:rsidP="008E5813">
      <w:pPr>
        <w:pStyle w:val="NoteToTenderers-ASDEFCON"/>
        <w:rPr>
          <w:rFonts w:eastAsia="Calibri"/>
        </w:rPr>
      </w:pPr>
      <w:r>
        <w:rPr>
          <w:rFonts w:eastAsia="Calibri"/>
        </w:rPr>
        <w:t xml:space="preserve">Note to tenderers: </w:t>
      </w:r>
      <w:r w:rsidR="00A51DBB">
        <w:rPr>
          <w:rFonts w:eastAsia="Calibri"/>
        </w:rPr>
        <w:t>The Commonwealth wants to understand the component values or ‘weightings’ applicable to the indices used for Adjustments</w:t>
      </w:r>
      <w:r w:rsidR="00FB1AA9">
        <w:rPr>
          <w:rFonts w:eastAsia="Calibri"/>
        </w:rPr>
        <w:t xml:space="preserve"> to assist</w:t>
      </w:r>
      <w:r w:rsidR="00A51DBB">
        <w:rPr>
          <w:rFonts w:eastAsia="Calibri"/>
        </w:rPr>
        <w:t xml:space="preserve"> in forecasting the out-turned price of any resultant Contract</w:t>
      </w:r>
      <w:r w:rsidR="00DE1037">
        <w:rPr>
          <w:rFonts w:eastAsia="Calibri"/>
        </w:rPr>
        <w:t>.</w:t>
      </w:r>
    </w:p>
    <w:p w14:paraId="44497675" w14:textId="50CA2C60" w:rsidR="006A0839" w:rsidRDefault="00DA45A3" w:rsidP="00250C94">
      <w:pPr>
        <w:pStyle w:val="ATTANNLV2-ASDEFCON"/>
        <w:rPr>
          <w:rFonts w:eastAsia="Calibri"/>
        </w:rPr>
      </w:pPr>
      <w:r>
        <w:rPr>
          <w:rFonts w:eastAsia="Calibri"/>
        </w:rPr>
        <w:t xml:space="preserve">Tenderers are to identify the component values (weightings) </w:t>
      </w:r>
      <w:r w:rsidR="00426909">
        <w:rPr>
          <w:rFonts w:eastAsia="Calibri"/>
        </w:rPr>
        <w:t>that would be applied to</w:t>
      </w:r>
      <w:r>
        <w:rPr>
          <w:rFonts w:eastAsia="Calibri"/>
        </w:rPr>
        <w:t xml:space="preserve"> each </w:t>
      </w:r>
      <w:r w:rsidR="00426909">
        <w:rPr>
          <w:rFonts w:eastAsia="Calibri"/>
        </w:rPr>
        <w:t xml:space="preserve">labour and materials </w:t>
      </w:r>
      <w:r>
        <w:rPr>
          <w:rFonts w:eastAsia="Calibri"/>
        </w:rPr>
        <w:t>index included in the Adjustments worksheet.</w:t>
      </w:r>
    </w:p>
    <w:p w14:paraId="7B4B734B" w14:textId="5FD88D18" w:rsidR="00BC7040" w:rsidRPr="004D1BA9" w:rsidRDefault="00BC7040">
      <w:pPr>
        <w:pStyle w:val="ATTANNLV1-ASDEFCON"/>
      </w:pPr>
      <w:bookmarkStart w:id="21" w:name="_Toc3028322"/>
      <w:r w:rsidRPr="004D1BA9">
        <w:t>SECURITIES (core)</w:t>
      </w:r>
      <w:bookmarkEnd w:id="21"/>
    </w:p>
    <w:p w14:paraId="189305E0" w14:textId="20C981A5" w:rsidR="00885EF4" w:rsidRPr="004D1BA9" w:rsidRDefault="00885EF4" w:rsidP="009B7EA9">
      <w:pPr>
        <w:pStyle w:val="ATTANNReferencetoCOC"/>
      </w:pPr>
      <w:r w:rsidRPr="004D1BA9">
        <w:t xml:space="preserve">Draft </w:t>
      </w:r>
      <w:r w:rsidR="005130EE" w:rsidRPr="004D1BA9">
        <w:t>COC</w:t>
      </w:r>
      <w:r w:rsidRPr="004D1BA9">
        <w:t xml:space="preserve"> reference: clauses </w:t>
      </w:r>
      <w:r w:rsidR="003334AD" w:rsidRPr="004D1BA9">
        <w:t>7.</w:t>
      </w:r>
      <w:r w:rsidR="004F7D69">
        <w:t>5</w:t>
      </w:r>
      <w:r w:rsidR="003334AD" w:rsidRPr="004D1BA9">
        <w:t xml:space="preserve">, </w:t>
      </w:r>
      <w:r w:rsidRPr="004D1BA9">
        <w:t>7.</w:t>
      </w:r>
      <w:r w:rsidR="004F7D69">
        <w:t>6</w:t>
      </w:r>
      <w:r w:rsidRPr="004D1BA9">
        <w:t>,</w:t>
      </w:r>
      <w:r w:rsidR="003334AD" w:rsidRPr="004D1BA9">
        <w:t xml:space="preserve"> and</w:t>
      </w:r>
      <w:r w:rsidRPr="004D1BA9">
        <w:t xml:space="preserve"> 7.</w:t>
      </w:r>
      <w:r w:rsidR="004F7D69">
        <w:t>7</w:t>
      </w:r>
    </w:p>
    <w:p w14:paraId="5B551F24" w14:textId="76E5E03B" w:rsidR="005B1D27" w:rsidRPr="00BE19D0" w:rsidRDefault="005B1D27">
      <w:pPr>
        <w:pStyle w:val="NoteToTenderers-ASDEFCON"/>
      </w:pPr>
      <w:r w:rsidRPr="00BE19D0">
        <w:t xml:space="preserve">Note to tenderers:  The draft </w:t>
      </w:r>
      <w:r>
        <w:t xml:space="preserve">conditions of contract </w:t>
      </w:r>
      <w:r w:rsidRPr="00BE19D0">
        <w:t xml:space="preserve">requires both a </w:t>
      </w:r>
      <w:r>
        <w:t xml:space="preserve">Bank Guarantee in respect of the Contractor’s performance </w:t>
      </w:r>
      <w:r w:rsidRPr="00BE19D0">
        <w:t xml:space="preserve">and a Deed of </w:t>
      </w:r>
      <w:r>
        <w:t>Guarantee</w:t>
      </w:r>
      <w:r w:rsidRPr="00BE19D0">
        <w:t xml:space="preserve"> and Indemnity.  Tenderers should note that whether the Commonwealth requires the Contractor to provide both types of security will be determined during negotiations with the preferred tenderer and based on the risk profile associated with the preferred tenderer’s </w:t>
      </w:r>
      <w:r>
        <w:t>provision</w:t>
      </w:r>
      <w:r w:rsidRPr="00BE19D0">
        <w:t xml:space="preserve"> of the </w:t>
      </w:r>
      <w:r w:rsidR="00994062">
        <w:t>Services</w:t>
      </w:r>
      <w:r>
        <w:t xml:space="preserve">. </w:t>
      </w:r>
      <w:r w:rsidRPr="00BE19D0">
        <w:t xml:space="preserve">The Commonwealth expects it will only require both a </w:t>
      </w:r>
      <w:r>
        <w:t xml:space="preserve">Bank Guarantee in respect of the Contractor’s performance </w:t>
      </w:r>
      <w:r w:rsidRPr="00BE19D0">
        <w:t xml:space="preserve">and a Deed of </w:t>
      </w:r>
      <w:r>
        <w:t xml:space="preserve">Guarantee </w:t>
      </w:r>
      <w:r w:rsidRPr="00BE19D0">
        <w:t>and Indemnity where it is assessed as necessary in the circumstances.</w:t>
      </w:r>
    </w:p>
    <w:p w14:paraId="6B988DD4" w14:textId="77777777" w:rsidR="005B1D27" w:rsidRPr="00BE19D0" w:rsidRDefault="005B1D27">
      <w:pPr>
        <w:pStyle w:val="NoteToTenderers-ASDEFCON"/>
      </w:pPr>
      <w:r w:rsidRPr="00BE19D0">
        <w:t xml:space="preserve">If the tenderer proposes the payment of a Mobilisation Payment in the Schedule of Payments in this Annex, the Commonwealth will require a non-reducing </w:t>
      </w:r>
      <w:r>
        <w:t>Bank Guarantee</w:t>
      </w:r>
      <w:r w:rsidRPr="00BE19D0">
        <w:t xml:space="preserve"> for 50% of the amount of the Mobilisation Payment in accordance with clause 7.4 of the draft </w:t>
      </w:r>
      <w:r>
        <w:t>COC.</w:t>
      </w:r>
    </w:p>
    <w:p w14:paraId="5685F17B" w14:textId="53667CF2" w:rsidR="005B1D27" w:rsidRDefault="005B1D27">
      <w:pPr>
        <w:pStyle w:val="NoteToTenderers-ASDEFCON"/>
      </w:pPr>
      <w:r w:rsidRPr="00BE19D0">
        <w:t xml:space="preserve">The Commonwealth may not require any of the securities requested in the draft </w:t>
      </w:r>
      <w:r>
        <w:t>COC</w:t>
      </w:r>
      <w:r w:rsidRPr="00BE19D0">
        <w:t xml:space="preserve"> in which case the amount nominated for such securities will be deducted from the tendered price and will not be included in any resultant </w:t>
      </w:r>
      <w:r w:rsidR="00FB4A80">
        <w:t>C</w:t>
      </w:r>
      <w:r w:rsidRPr="00BE19D0">
        <w:t>ontract.</w:t>
      </w:r>
    </w:p>
    <w:p w14:paraId="73C4E964" w14:textId="77777777" w:rsidR="00FB4A80" w:rsidRDefault="00FB4A80">
      <w:pPr>
        <w:pStyle w:val="NoteToTenderers-ASDEFCON"/>
      </w:pPr>
      <w:r>
        <w:t xml:space="preserve">If the tenderer has a Master Guarantee and Indemnity Deed with Defence, the tenderer can elect to have the Master Guarantee and Indemnity apply to any resultant Contract. If the tenderer has pre-agreed with Defence amendments to the template Bank Guarantee Deed, the tenderer should </w:t>
      </w:r>
      <w:r>
        <w:lastRenderedPageBreak/>
        <w:t>indicate which alterations it is seeking are pre-agreed. Information on the Master Guarantee Program is available at:</w:t>
      </w:r>
    </w:p>
    <w:p w14:paraId="0FAC4C89" w14:textId="5334DBE8" w:rsidR="00FB4A80" w:rsidRPr="00BE19D0" w:rsidRDefault="006F19DE">
      <w:pPr>
        <w:pStyle w:val="NoteToTenderers-ASDEFCON"/>
      </w:pPr>
      <w:hyperlink r:id="rId12" w:history="1">
        <w:r w:rsidR="005E56FF">
          <w:rPr>
            <w:rStyle w:val="Hyperlink"/>
          </w:rPr>
          <w:t>https://www.defence.gov.au/business-industry/procurement/policies-guidelines-templates/master-guarantee-program</w:t>
        </w:r>
      </w:hyperlink>
      <w:r w:rsidR="00FB4A80">
        <w:t>.</w:t>
      </w:r>
    </w:p>
    <w:p w14:paraId="6B8DD213" w14:textId="32DAFF61" w:rsidR="00BC7040" w:rsidRPr="004D1BA9" w:rsidRDefault="00BC7040">
      <w:pPr>
        <w:pStyle w:val="ATTANNLV2-ASDEFCON"/>
      </w:pPr>
      <w:r w:rsidRPr="004D1BA9">
        <w:t xml:space="preserve">Tenderers </w:t>
      </w:r>
      <w:r w:rsidR="00CC4F49" w:rsidRPr="004D1BA9">
        <w:t>are to</w:t>
      </w:r>
      <w:r w:rsidRPr="004D1BA9">
        <w:t xml:space="preserve"> provide the following details in relation to the proposed </w:t>
      </w:r>
      <w:r w:rsidR="005B1D27">
        <w:t>Bank Guarantee and Deed of Guarantee and Indemnity</w:t>
      </w:r>
      <w:r w:rsidRPr="004D1BA9">
        <w:t xml:space="preserve"> contained in </w:t>
      </w:r>
      <w:r w:rsidR="00FB4A80">
        <w:t>Annex</w:t>
      </w:r>
      <w:r w:rsidR="00B04137">
        <w:t>es D and</w:t>
      </w:r>
      <w:r w:rsidR="00FB4A80">
        <w:t xml:space="preserve"> E to </w:t>
      </w:r>
      <w:r w:rsidRPr="004D1BA9">
        <w:t xml:space="preserve">Attachment I to the draft </w:t>
      </w:r>
      <w:r w:rsidR="00317F1C" w:rsidRPr="004D1BA9">
        <w:t>COC</w:t>
      </w:r>
      <w:r w:rsidRPr="004D1BA9">
        <w:t>:</w:t>
      </w:r>
    </w:p>
    <w:p w14:paraId="3AC10D4D" w14:textId="77777777" w:rsidR="00BC7040" w:rsidRPr="004D1BA9" w:rsidRDefault="00BC7040">
      <w:pPr>
        <w:pStyle w:val="ATTANNLV3-ASDEFCON"/>
      </w:pPr>
      <w:r w:rsidRPr="004D1BA9">
        <w:t xml:space="preserve">acceptability or otherwise of the security </w:t>
      </w:r>
      <w:r w:rsidR="00F20B13" w:rsidRPr="004D1BA9">
        <w:t>d</w:t>
      </w:r>
      <w:r w:rsidRPr="004D1BA9">
        <w:t>eeds</w:t>
      </w:r>
      <w:r w:rsidR="00F20B13" w:rsidRPr="004D1BA9">
        <w:t>;</w:t>
      </w:r>
    </w:p>
    <w:p w14:paraId="1B281A1E" w14:textId="77777777" w:rsidR="00BC7040" w:rsidRPr="004D1BA9" w:rsidRDefault="00BC7040">
      <w:pPr>
        <w:pStyle w:val="ATTANNLV3-ASDEFCON"/>
      </w:pPr>
      <w:r w:rsidRPr="004D1BA9">
        <w:t xml:space="preserve">any proposed alterations or alternatives; </w:t>
      </w:r>
    </w:p>
    <w:p w14:paraId="6C7EADE3" w14:textId="74249DBD" w:rsidR="007D6A70" w:rsidRPr="004D1BA9" w:rsidRDefault="00BC7040">
      <w:pPr>
        <w:pStyle w:val="ATTANNLV3-ASDEFCON"/>
      </w:pPr>
      <w:r w:rsidRPr="004D1BA9">
        <w:t xml:space="preserve">proposed promisor for the </w:t>
      </w:r>
      <w:r w:rsidR="005B1D27">
        <w:t>Bank Guarantee</w:t>
      </w:r>
      <w:r w:rsidR="007D6A70" w:rsidRPr="004D1BA9">
        <w:t>, if applicable;</w:t>
      </w:r>
    </w:p>
    <w:p w14:paraId="52E1D81F" w14:textId="77777777" w:rsidR="00B01E67" w:rsidRDefault="00BC7040">
      <w:pPr>
        <w:pStyle w:val="ATTANNLV3-ASDEFCON"/>
      </w:pPr>
      <w:r w:rsidRPr="004D1BA9">
        <w:t xml:space="preserve">proposed </w:t>
      </w:r>
      <w:r w:rsidR="00B01E67">
        <w:t xml:space="preserve">Guarantor </w:t>
      </w:r>
      <w:r w:rsidRPr="004D1BA9">
        <w:t xml:space="preserve">for the Deed of </w:t>
      </w:r>
      <w:r w:rsidR="00B01E67">
        <w:t>Guarantee</w:t>
      </w:r>
      <w:r w:rsidRPr="004D1BA9">
        <w:t xml:space="preserve"> and Indemnity, </w:t>
      </w:r>
      <w:r w:rsidR="007D6A70" w:rsidRPr="004D1BA9">
        <w:t>if</w:t>
      </w:r>
      <w:r w:rsidRPr="004D1BA9">
        <w:t xml:space="preserve"> applicable</w:t>
      </w:r>
      <w:r w:rsidR="00B01E67">
        <w:t>; and</w:t>
      </w:r>
    </w:p>
    <w:p w14:paraId="3D2D0470" w14:textId="77777777" w:rsidR="00BC7040" w:rsidRPr="004D1BA9" w:rsidRDefault="00B01E67">
      <w:pPr>
        <w:pStyle w:val="ATTANNLV3-ASDEFCON"/>
      </w:pPr>
      <w:r w:rsidRPr="00B01E67">
        <w:t>where the tenderer is an approved participant in the Master Guarantee and Indemnity Program, whether the tenderer proposes that the tenderer’s Master Guarantee and Indemnity be used for the draft Contract.</w:t>
      </w:r>
    </w:p>
    <w:p w14:paraId="03101B1A" w14:textId="2FE53130" w:rsidR="00BC7040" w:rsidRPr="004D1BA9" w:rsidRDefault="00BC7040">
      <w:pPr>
        <w:pStyle w:val="ATTANNLV1-ASDEFCON"/>
      </w:pPr>
      <w:bookmarkStart w:id="22" w:name="_Toc531858812"/>
      <w:bookmarkStart w:id="23" w:name="_Ref82437265"/>
      <w:r w:rsidRPr="004D1BA9">
        <w:t>AGENCY ARRANGEMENTS (</w:t>
      </w:r>
      <w:r w:rsidR="00425EC7" w:rsidRPr="004D1BA9">
        <w:t>CORE</w:t>
      </w:r>
      <w:r w:rsidRPr="004D1BA9">
        <w:t>)</w:t>
      </w:r>
      <w:bookmarkEnd w:id="22"/>
      <w:bookmarkEnd w:id="23"/>
    </w:p>
    <w:p w14:paraId="1BEC62D4" w14:textId="77777777" w:rsidR="00885EF4" w:rsidRPr="004D1BA9" w:rsidRDefault="00885EF4" w:rsidP="009B7EA9">
      <w:pPr>
        <w:pStyle w:val="ATTANNReferencetoCOC"/>
      </w:pPr>
      <w:r w:rsidRPr="004D1BA9">
        <w:t xml:space="preserve">Draft </w:t>
      </w:r>
      <w:r w:rsidR="005130EE" w:rsidRPr="004D1BA9">
        <w:t>COC</w:t>
      </w:r>
      <w:r w:rsidRPr="004D1BA9">
        <w:t xml:space="preserve"> reference: 7.1</w:t>
      </w:r>
      <w:r w:rsidR="00B624A0">
        <w:t>3</w:t>
      </w:r>
    </w:p>
    <w:p w14:paraId="56982334" w14:textId="77777777" w:rsidR="00BC7040" w:rsidRPr="004D1BA9" w:rsidRDefault="00BC7040">
      <w:pPr>
        <w:pStyle w:val="NoteToTenderers-ASDEFCON"/>
      </w:pPr>
      <w:r w:rsidRPr="004D1BA9">
        <w:t xml:space="preserve">Note to tenderers: </w:t>
      </w:r>
      <w:r w:rsidR="00275888" w:rsidRPr="004D1BA9">
        <w:t xml:space="preserve"> </w:t>
      </w:r>
      <w:r w:rsidRPr="004D1BA9">
        <w:t>The Commonwealth prefers to deal directly with the tenderer and not to have an agent interposed</w:t>
      </w:r>
      <w:r w:rsidR="00746EEA">
        <w:t xml:space="preserve">.  </w:t>
      </w:r>
      <w:r w:rsidRPr="004D1BA9">
        <w:t>This preference is not intended to preclude Australian companies being commissioned by overseas companies to work on their behalf or to collaborate with them in the development of proposals</w:t>
      </w:r>
      <w:r w:rsidR="00746EEA">
        <w:t xml:space="preserve">.  </w:t>
      </w:r>
    </w:p>
    <w:p w14:paraId="258B579C" w14:textId="77777777" w:rsidR="00BC7040" w:rsidRPr="004D1BA9" w:rsidRDefault="00BC7040">
      <w:pPr>
        <w:pStyle w:val="ATTANNLV2-ASDEFCON"/>
      </w:pPr>
      <w:r w:rsidRPr="004D1BA9">
        <w:t xml:space="preserve">Tenderers </w:t>
      </w:r>
      <w:r w:rsidR="00A53798" w:rsidRPr="004D1BA9">
        <w:t>are to</w:t>
      </w:r>
      <w:r w:rsidRPr="004D1BA9">
        <w:t xml:space="preserve"> state whether they have entered into or propose to enter into agency arrangements relevant to any resultant </w:t>
      </w:r>
      <w:r w:rsidR="0072479A" w:rsidRPr="004D1BA9">
        <w:t>C</w:t>
      </w:r>
      <w:r w:rsidRPr="004D1BA9">
        <w:t>ontract, including any agency arrangement for GST purposes in accordance with clause 7.1</w:t>
      </w:r>
      <w:r w:rsidR="00B624A0">
        <w:t>3</w:t>
      </w:r>
      <w:r w:rsidRPr="004D1BA9">
        <w:t xml:space="preserve"> of the draft </w:t>
      </w:r>
      <w:r w:rsidR="00317F1C" w:rsidRPr="004D1BA9">
        <w:t>COC</w:t>
      </w:r>
      <w:r w:rsidR="00746EEA">
        <w:t xml:space="preserve">.  </w:t>
      </w:r>
      <w:r w:rsidRPr="004D1BA9">
        <w:t xml:space="preserve">If so, tenderers </w:t>
      </w:r>
      <w:r w:rsidR="00A53798" w:rsidRPr="004D1BA9">
        <w:t>are to</w:t>
      </w:r>
      <w:r w:rsidRPr="004D1BA9">
        <w:t xml:space="preserve"> provide the following details:</w:t>
      </w:r>
    </w:p>
    <w:p w14:paraId="6DACCDB7" w14:textId="4497DFEF" w:rsidR="00BC7040" w:rsidRPr="004D1BA9" w:rsidRDefault="00BC7040">
      <w:pPr>
        <w:pStyle w:val="ATTANNLV3-ASDEFCON"/>
      </w:pPr>
      <w:r w:rsidRPr="004D1BA9">
        <w:t>in the event that the agent is a company, the name, ACN/ARBN and ABN as applicable</w:t>
      </w:r>
      <w:r w:rsidR="00283DA9">
        <w:t>,</w:t>
      </w:r>
      <w:r w:rsidRPr="004D1BA9">
        <w:t xml:space="preserve"> and registered office of the agent;</w:t>
      </w:r>
    </w:p>
    <w:p w14:paraId="195CE1B7" w14:textId="67535D94" w:rsidR="00BC7040" w:rsidRPr="004D1BA9" w:rsidRDefault="00BC7040">
      <w:pPr>
        <w:pStyle w:val="ATTANNLV3-ASDEFCON"/>
      </w:pPr>
      <w:r w:rsidRPr="004D1BA9">
        <w:t>in the event the agent is not a company, the name and address of the agent and if the agent is also not a natural person, an explanation of the legal personality of the agent (</w:t>
      </w:r>
      <w:r w:rsidR="00F85658" w:rsidRPr="004D1BA9">
        <w:t>eg</w:t>
      </w:r>
      <w:r w:rsidR="00A2215F">
        <w:t>,</w:t>
      </w:r>
      <w:r w:rsidRPr="004D1BA9">
        <w:t xml:space="preserve"> partnership</w:t>
      </w:r>
      <w:r w:rsidR="00283DA9">
        <w:t>,</w:t>
      </w:r>
      <w:r w:rsidRPr="004D1BA9">
        <w:t xml:space="preserve"> etc);</w:t>
      </w:r>
    </w:p>
    <w:p w14:paraId="1B4BE341" w14:textId="77777777" w:rsidR="00BC7040" w:rsidRPr="004D1BA9" w:rsidRDefault="00BC7040">
      <w:pPr>
        <w:pStyle w:val="ATTANNLV3-ASDEFCON"/>
      </w:pPr>
      <w:r w:rsidRPr="004D1BA9">
        <w:t>the basis of the arrangement; and</w:t>
      </w:r>
    </w:p>
    <w:p w14:paraId="4959E9D0" w14:textId="452BFA57" w:rsidR="009205C1" w:rsidRDefault="00BC7040">
      <w:pPr>
        <w:pStyle w:val="ATTANNLV3-ASDEFCON"/>
      </w:pPr>
      <w:r w:rsidRPr="004D1BA9">
        <w:t>the extent to which provision has been made for any payments in respect of the arrangements to be included, however indirectly, in the prices ten</w:t>
      </w:r>
      <w:r w:rsidRPr="00EB0ED9">
        <w:t>dered.</w:t>
      </w:r>
    </w:p>
    <w:p w14:paraId="1E77198C" w14:textId="77777777" w:rsidR="00F37F7C" w:rsidRDefault="00F37F7C" w:rsidP="00F37F7C">
      <w:pPr>
        <w:pStyle w:val="ATTANNLV1-ASDEFCON"/>
      </w:pPr>
      <w:bookmarkStart w:id="24" w:name="_Ref83970412"/>
      <w:r>
        <w:t>AUSTRALIAN CONTRACT EXPENDITURE (CORE)</w:t>
      </w:r>
      <w:bookmarkEnd w:id="24"/>
    </w:p>
    <w:p w14:paraId="5A1BCE46" w14:textId="264D05B3" w:rsidR="00F37F7C" w:rsidRPr="008236D4" w:rsidRDefault="00F37F7C" w:rsidP="00F37F7C">
      <w:pPr>
        <w:pStyle w:val="ATTANNReferencetoCOC"/>
      </w:pPr>
      <w:r>
        <w:t xml:space="preserve">Draft COC reference: Attachment B clause </w:t>
      </w:r>
      <w:r w:rsidR="00AA2DC4">
        <w:t>8</w:t>
      </w:r>
      <w:r>
        <w:t>, Attachment F clause 4</w:t>
      </w:r>
    </w:p>
    <w:p w14:paraId="07F628C9" w14:textId="1678E7AD" w:rsidR="00EF2A0F" w:rsidRDefault="00EF2A0F" w:rsidP="0089648C">
      <w:pPr>
        <w:pStyle w:val="NoteToDrafters-ASDEFCON"/>
      </w:pPr>
      <w:r>
        <w:t xml:space="preserve">Note to drafters:  </w:t>
      </w:r>
      <w:r w:rsidR="00573BFF">
        <w:t xml:space="preserve">If Recurring Services </w:t>
      </w:r>
      <w:r w:rsidR="00160334">
        <w:t>are expected to</w:t>
      </w:r>
      <w:r w:rsidR="00573BFF">
        <w:t xml:space="preserve"> be AUD $20m or more per annum, the</w:t>
      </w:r>
      <w:r w:rsidR="00160334">
        <w:t>n</w:t>
      </w:r>
      <w:r w:rsidR="00573BFF">
        <w:t xml:space="preserve"> </w:t>
      </w:r>
      <w:r w:rsidR="00160334">
        <w:t>tenderers</w:t>
      </w:r>
      <w:r>
        <w:t xml:space="preserve"> </w:t>
      </w:r>
      <w:r w:rsidR="00573BFF">
        <w:t xml:space="preserve">may </w:t>
      </w:r>
      <w:r w:rsidR="00160334">
        <w:t>need to submit</w:t>
      </w:r>
      <w:r>
        <w:t xml:space="preserve"> Prescribed ACE Percentages</w:t>
      </w:r>
      <w:r w:rsidR="00160334">
        <w:t>;</w:t>
      </w:r>
      <w:r w:rsidR="00A26C48">
        <w:t xml:space="preserve"> refer to TDR H for details</w:t>
      </w:r>
      <w:r>
        <w:t xml:space="preserve">.  </w:t>
      </w:r>
      <w:r w:rsidR="009041DA">
        <w:t xml:space="preserve">If not applicable, </w:t>
      </w:r>
      <w:r w:rsidR="00160334">
        <w:t xml:space="preserve">remove reference to Prescribed ACE Percentages in </w:t>
      </w:r>
      <w:r w:rsidR="009041DA">
        <w:t xml:space="preserve">the </w:t>
      </w:r>
      <w:r w:rsidR="00160334">
        <w:t xml:space="preserve">following </w:t>
      </w:r>
      <w:r w:rsidR="009041DA">
        <w:t>note to tenderers.</w:t>
      </w:r>
    </w:p>
    <w:p w14:paraId="3E5CDFC7" w14:textId="244F7B27" w:rsidR="00862564" w:rsidRDefault="00F37F7C" w:rsidP="00862564">
      <w:pPr>
        <w:pStyle w:val="NoteToTenderers-ASDEFCON"/>
      </w:pPr>
      <w:r>
        <w:t xml:space="preserve">Note to tenderers:  </w:t>
      </w:r>
      <w:r w:rsidR="00204335">
        <w:t>The draft</w:t>
      </w:r>
      <w:r>
        <w:t xml:space="preserve"> Contract </w:t>
      </w:r>
      <w:r w:rsidR="00204335">
        <w:t>requires</w:t>
      </w:r>
      <w:r>
        <w:t xml:space="preserve"> </w:t>
      </w:r>
      <w:r w:rsidR="00160334">
        <w:t>measure</w:t>
      </w:r>
      <w:r w:rsidR="00204335">
        <w:t>ment of</w:t>
      </w:r>
      <w:r>
        <w:t xml:space="preserve"> Australian Contract Expenditure (ACE)</w:t>
      </w:r>
      <w:r w:rsidR="00204335">
        <w:t xml:space="preserve"> </w:t>
      </w:r>
      <w:r>
        <w:t xml:space="preserve">for </w:t>
      </w:r>
      <w:r w:rsidR="000663E3">
        <w:t>a number of payment types</w:t>
      </w:r>
      <w:r>
        <w:t>.</w:t>
      </w:r>
      <w:r w:rsidR="003C24C4">
        <w:t xml:space="preserve">  </w:t>
      </w:r>
      <w:r w:rsidR="000663E3">
        <w:t>If</w:t>
      </w:r>
      <w:r w:rsidR="003C24C4">
        <w:t xml:space="preserve"> the value of the Recurring Services </w:t>
      </w:r>
      <w:r w:rsidR="000663E3">
        <w:t>is expected to be</w:t>
      </w:r>
      <w:r w:rsidR="003C24C4">
        <w:t xml:space="preserve"> </w:t>
      </w:r>
      <w:r w:rsidR="00160334">
        <w:t xml:space="preserve">AUD </w:t>
      </w:r>
      <w:r w:rsidR="003C24C4">
        <w:t xml:space="preserve">$20m or more </w:t>
      </w:r>
      <w:r w:rsidR="002540EB">
        <w:t>per annum</w:t>
      </w:r>
      <w:r w:rsidR="000E11A4">
        <w:t>,</w:t>
      </w:r>
      <w:r w:rsidR="000663E3" w:rsidRPr="000663E3">
        <w:t xml:space="preserve"> </w:t>
      </w:r>
      <w:r w:rsidR="00160334">
        <w:t>any resultant Contract</w:t>
      </w:r>
      <w:r w:rsidR="000663E3">
        <w:t xml:space="preserve"> will also </w:t>
      </w:r>
      <w:r w:rsidR="000E11A4">
        <w:t xml:space="preserve">be </w:t>
      </w:r>
      <w:r w:rsidR="00D03081">
        <w:t>require</w:t>
      </w:r>
      <w:r w:rsidR="000E11A4">
        <w:t>d to include</w:t>
      </w:r>
      <w:r w:rsidR="000663E3">
        <w:t xml:space="preserve"> Prescribed ACE Percentages</w:t>
      </w:r>
      <w:r w:rsidR="00D03081">
        <w:t xml:space="preserve"> </w:t>
      </w:r>
      <w:r w:rsidR="00160334">
        <w:t>that are</w:t>
      </w:r>
      <w:r w:rsidR="00D03081">
        <w:t xml:space="preserve"> derived from, but which may be different to, the calculated ACE percentage</w:t>
      </w:r>
      <w:r w:rsidR="00DD488C">
        <w:t xml:space="preserve"> for Recurring Services</w:t>
      </w:r>
      <w:r w:rsidR="003C24C4">
        <w:t>.</w:t>
      </w:r>
      <w:r>
        <w:t xml:space="preserve">  </w:t>
      </w:r>
      <w:r w:rsidR="002540EB">
        <w:t>I</w:t>
      </w:r>
      <w:r w:rsidR="003C24C4">
        <w:t xml:space="preserve">f </w:t>
      </w:r>
      <w:r w:rsidR="002540EB">
        <w:t xml:space="preserve">Prescribed ACE Percentages are </w:t>
      </w:r>
      <w:r w:rsidR="003C24C4">
        <w:t>applicable,</w:t>
      </w:r>
      <w:r>
        <w:t xml:space="preserve"> </w:t>
      </w:r>
      <w:r w:rsidR="00D03081">
        <w:t>refer to Annex H to Attachment A to the COT</w:t>
      </w:r>
      <w:r>
        <w:t>.</w:t>
      </w:r>
      <w:bookmarkStart w:id="25" w:name="_Ref83720043"/>
      <w:bookmarkStart w:id="26" w:name="_Ref83487355"/>
    </w:p>
    <w:p w14:paraId="4D74D306" w14:textId="6D205E9E" w:rsidR="00E55FA9" w:rsidRDefault="00143AF9" w:rsidP="00862564">
      <w:pPr>
        <w:pStyle w:val="ATTANNLV2-ASDEFCON"/>
      </w:pPr>
      <w:bookmarkStart w:id="27" w:name="_Ref83970574"/>
      <w:r>
        <w:t>When preparing the SPTPW</w:t>
      </w:r>
      <w:r w:rsidR="00E34ABA">
        <w:t xml:space="preserve">, </w:t>
      </w:r>
      <w:r>
        <w:t>t</w:t>
      </w:r>
      <w:r w:rsidR="00112674">
        <w:t xml:space="preserve">enderers are to </w:t>
      </w:r>
      <w:r w:rsidR="00A84FC2">
        <w:t>determine</w:t>
      </w:r>
      <w:r w:rsidR="00AA2DC4">
        <w:t xml:space="preserve"> </w:t>
      </w:r>
      <w:r w:rsidR="00112674">
        <w:t xml:space="preserve">the </w:t>
      </w:r>
      <w:r w:rsidR="00AA2DC4">
        <w:t xml:space="preserve">planned </w:t>
      </w:r>
      <w:r w:rsidR="00112674">
        <w:t>Australian Cont</w:t>
      </w:r>
      <w:r w:rsidR="00C07974">
        <w:t>r</w:t>
      </w:r>
      <w:r w:rsidR="00112674">
        <w:t>act Expenditure (ACE)</w:t>
      </w:r>
      <w:r w:rsidR="00112674" w:rsidRPr="00683764">
        <w:t xml:space="preserve"> </w:t>
      </w:r>
      <w:r w:rsidR="00112674">
        <w:t xml:space="preserve">and the </w:t>
      </w:r>
      <w:r w:rsidR="00AA2DC4">
        <w:t xml:space="preserve">planned </w:t>
      </w:r>
      <w:r w:rsidR="00112674">
        <w:t>Imported Cont</w:t>
      </w:r>
      <w:r w:rsidR="00C07974">
        <w:t>r</w:t>
      </w:r>
      <w:r w:rsidR="00112674">
        <w:t>act Expenditure (ICE)</w:t>
      </w:r>
      <w:r w:rsidR="00AA2DC4">
        <w:t xml:space="preserve"> for </w:t>
      </w:r>
      <w:r w:rsidR="000E11A4">
        <w:t>the applicable payment types</w:t>
      </w:r>
      <w:r w:rsidR="005E56FF">
        <w:t xml:space="preserve"> for any resultant Contract</w:t>
      </w:r>
      <w:r w:rsidR="00112674">
        <w:t xml:space="preserve">, in accordance with clause </w:t>
      </w:r>
      <w:r w:rsidR="00112674" w:rsidRPr="00112674">
        <w:t>7.15</w:t>
      </w:r>
      <w:r w:rsidR="00112674" w:rsidRPr="00BC2EB3">
        <w:t xml:space="preserve"> </w:t>
      </w:r>
      <w:r w:rsidR="00112674">
        <w:t>of the draft COC</w:t>
      </w:r>
      <w:r w:rsidR="00E55FA9">
        <w:t>.</w:t>
      </w:r>
      <w:bookmarkEnd w:id="25"/>
      <w:bookmarkEnd w:id="27"/>
    </w:p>
    <w:p w14:paraId="4A4735B3" w14:textId="161A1428" w:rsidR="005473BA" w:rsidRDefault="005473BA" w:rsidP="005D786C">
      <w:pPr>
        <w:pStyle w:val="NoteToDrafters-ASDEFCON"/>
      </w:pPr>
      <w:r>
        <w:lastRenderedPageBreak/>
        <w:t xml:space="preserve">Note to drafters: In clause </w:t>
      </w:r>
      <w:r>
        <w:fldChar w:fldCharType="begin"/>
      </w:r>
      <w:r>
        <w:instrText xml:space="preserve"> REF _Ref83709613 \r \h </w:instrText>
      </w:r>
      <w:r>
        <w:fldChar w:fldCharType="separate"/>
      </w:r>
      <w:r w:rsidR="00793ADB">
        <w:t>11.2</w:t>
      </w:r>
      <w:r>
        <w:fldChar w:fldCharType="end"/>
      </w:r>
      <w:r>
        <w:t xml:space="preserve">, reference to the Contractor Standing Capability </w:t>
      </w:r>
      <w:r w:rsidR="0076512F">
        <w:t xml:space="preserve">at clause </w:t>
      </w:r>
      <w:r w:rsidR="0076512F">
        <w:fldChar w:fldCharType="begin"/>
      </w:r>
      <w:r w:rsidR="0076512F">
        <w:instrText xml:space="preserve"> REF _Ref83733032 \w \h </w:instrText>
      </w:r>
      <w:r w:rsidR="0076512F">
        <w:fldChar w:fldCharType="separate"/>
      </w:r>
      <w:r w:rsidR="00793ADB">
        <w:t>11.2d</w:t>
      </w:r>
      <w:r w:rsidR="0076512F">
        <w:fldChar w:fldCharType="end"/>
      </w:r>
      <w:r w:rsidR="0076512F">
        <w:t xml:space="preserve"> </w:t>
      </w:r>
      <w:r>
        <w:t>should be deleted if not applicable to the draft Contract.</w:t>
      </w:r>
    </w:p>
    <w:p w14:paraId="4E379CD8" w14:textId="4269919C" w:rsidR="00F751DE" w:rsidRDefault="00F751DE" w:rsidP="00F751DE">
      <w:pPr>
        <w:pStyle w:val="NoteToTenderers-ASDEFCON"/>
      </w:pPr>
      <w:r>
        <w:t xml:space="preserve">Note to tenderers:  In relation to Australian Industry Capability (AIC), the Commonwealth wishes to assess the overall ACE of the tendered proposal.  Note that </w:t>
      </w:r>
      <w:r w:rsidR="002B28B8">
        <w:t>ACE, as a financial measure, is only one aspect of the AIC program.</w:t>
      </w:r>
      <w:r w:rsidR="00432402">
        <w:t xml:space="preserve">  Completing the ACE Summary worksheet </w:t>
      </w:r>
      <w:r w:rsidR="00272AB7">
        <w:t xml:space="preserve">in the SPTPW </w:t>
      </w:r>
      <w:r w:rsidR="00432402">
        <w:t xml:space="preserve">requires monthly payment amounts to be copied from related worksheets to produce a month-by-month payment and ACE profile.  Note that the sum of the Recurring Services Fees (for Core Services and </w:t>
      </w:r>
      <w:r w:rsidR="005B3874">
        <w:t xml:space="preserve">any </w:t>
      </w:r>
      <w:r w:rsidR="00432402">
        <w:t xml:space="preserve">Excluded Services) and Milestone Payments equate to the </w:t>
      </w:r>
      <w:r w:rsidR="005B3874">
        <w:t>Defined Contract Value.</w:t>
      </w:r>
    </w:p>
    <w:p w14:paraId="3155B30C" w14:textId="6EFA4A4E" w:rsidR="00112674" w:rsidRDefault="007E526B" w:rsidP="00112674">
      <w:pPr>
        <w:pStyle w:val="ATTANNLV2-ASDEFCON"/>
      </w:pPr>
      <w:bookmarkStart w:id="28" w:name="_Ref83709613"/>
      <w:r>
        <w:t xml:space="preserve">Tenderers are to complete the ACE Summary worksheet of the SPTPW </w:t>
      </w:r>
      <w:r w:rsidR="00E42AB6">
        <w:t xml:space="preserve">for </w:t>
      </w:r>
      <w:r w:rsidR="00E42AB6" w:rsidRPr="0089648C">
        <w:t>the Initial Term</w:t>
      </w:r>
      <w:r w:rsidR="00E42AB6">
        <w:t xml:space="preserve"> of any resultant Contract</w:t>
      </w:r>
      <w:r w:rsidR="00AB36CC">
        <w:t xml:space="preserve"> </w:t>
      </w:r>
      <w:r w:rsidR="00432402">
        <w:t>(using monthly payment and</w:t>
      </w:r>
      <w:r w:rsidR="00E55FA9">
        <w:t xml:space="preserve"> </w:t>
      </w:r>
      <w:r w:rsidR="00E55FA9" w:rsidRPr="0089648C">
        <w:t>ACE</w:t>
      </w:r>
      <w:r w:rsidR="00432402">
        <w:t xml:space="preserve"> values from related worksheets</w:t>
      </w:r>
      <w:r w:rsidR="00F751DE">
        <w:t>)</w:t>
      </w:r>
      <w:r w:rsidR="00E92A76">
        <w:t>,</w:t>
      </w:r>
      <w:r w:rsidR="00E55FA9" w:rsidRPr="0089648C">
        <w:t xml:space="preserve"> </w:t>
      </w:r>
      <w:r w:rsidR="00432402">
        <w:t>and provide the resulting payment and ACE total values for</w:t>
      </w:r>
      <w:r w:rsidR="005B3874">
        <w:t xml:space="preserve"> each of</w:t>
      </w:r>
      <w:r w:rsidR="00E42AB6">
        <w:t xml:space="preserve"> </w:t>
      </w:r>
      <w:r w:rsidR="00E55FA9">
        <w:t>the following payment types (as applicable)</w:t>
      </w:r>
      <w:r w:rsidR="00112674">
        <w:t>:</w:t>
      </w:r>
      <w:bookmarkEnd w:id="26"/>
      <w:bookmarkEnd w:id="28"/>
    </w:p>
    <w:p w14:paraId="3FC2AC26" w14:textId="4076740F" w:rsidR="00112674" w:rsidRDefault="00112674" w:rsidP="00112674">
      <w:pPr>
        <w:pStyle w:val="ATTANNLV3-ASDEFCON"/>
      </w:pPr>
      <w:r>
        <w:t>Core Services Fee</w:t>
      </w:r>
      <w:r w:rsidR="00143AF9">
        <w:t>s</w:t>
      </w:r>
      <w:r>
        <w:t>;</w:t>
      </w:r>
    </w:p>
    <w:p w14:paraId="2A531103" w14:textId="1DC3369D" w:rsidR="00112674" w:rsidRDefault="00112674" w:rsidP="00112674">
      <w:pPr>
        <w:pStyle w:val="ATTANNLV3-ASDEFCON"/>
      </w:pPr>
      <w:r>
        <w:t>Excluded Services</w:t>
      </w:r>
      <w:r w:rsidR="00143AF9">
        <w:t xml:space="preserve"> Fees</w:t>
      </w:r>
      <w:r>
        <w:t>;</w:t>
      </w:r>
    </w:p>
    <w:p w14:paraId="4FC06672" w14:textId="1C1798AC" w:rsidR="00112674" w:rsidRDefault="00112674" w:rsidP="00112674">
      <w:pPr>
        <w:pStyle w:val="ATTANNLV3-ASDEFCON"/>
      </w:pPr>
      <w:r>
        <w:t>Milestone Payments</w:t>
      </w:r>
      <w:r w:rsidR="005B3874">
        <w:t xml:space="preserve"> (</w:t>
      </w:r>
      <w:r w:rsidR="00DE5668">
        <w:t>including for Phase-In Services</w:t>
      </w:r>
      <w:r w:rsidR="005B3874">
        <w:t>)</w:t>
      </w:r>
      <w:r>
        <w:t>; and</w:t>
      </w:r>
    </w:p>
    <w:p w14:paraId="232712C2" w14:textId="534CDB09" w:rsidR="00112674" w:rsidRDefault="00112674" w:rsidP="00112674">
      <w:pPr>
        <w:pStyle w:val="ATTANNLV3-ASDEFCON"/>
      </w:pPr>
      <w:bookmarkStart w:id="29" w:name="_Ref83733032"/>
      <w:r>
        <w:t>Contractor Standing Capability Fees</w:t>
      </w:r>
      <w:r w:rsidR="007E526B">
        <w:t xml:space="preserve"> (for the initial CSC Term)</w:t>
      </w:r>
      <w:r>
        <w:t>.</w:t>
      </w:r>
      <w:bookmarkEnd w:id="29"/>
    </w:p>
    <w:p w14:paraId="0A021745" w14:textId="53CA907E" w:rsidR="00917A8B" w:rsidRDefault="00112674" w:rsidP="00D357DA">
      <w:pPr>
        <w:pStyle w:val="NoteToDrafters-ASDEFCON"/>
      </w:pPr>
      <w:r>
        <w:lastRenderedPageBreak/>
        <w:t xml:space="preserve">Note to drafters: </w:t>
      </w:r>
      <w:r w:rsidR="005D786C" w:rsidRPr="005D786C">
        <w:t xml:space="preserve"> </w:t>
      </w:r>
      <w:r w:rsidR="005D786C">
        <w:t>If the Recurring Services Fee for the Contract is expected to exceed A$20 million per annum, then Prescribed ACE Percentages will be included at Attachment F and the following option is to be included to collect related pricing data.</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D357DA" w14:paraId="1F08837B" w14:textId="77777777" w:rsidTr="00D357DA">
        <w:tc>
          <w:tcPr>
            <w:tcW w:w="9071" w:type="dxa"/>
            <w:shd w:val="clear" w:color="auto" w:fill="auto"/>
          </w:tcPr>
          <w:p w14:paraId="24A8B81D" w14:textId="32D61AE6" w:rsidR="00D357DA" w:rsidRDefault="00D357DA" w:rsidP="00D357DA">
            <w:pPr>
              <w:pStyle w:val="ASDEFCONOption"/>
            </w:pPr>
            <w:bookmarkStart w:id="30" w:name="_Ref83720573"/>
            <w:bookmarkStart w:id="31" w:name="_Ref79732443"/>
            <w:r>
              <w:t>Option: Include this option if the Contract WILL include Prescribed ACE Percentages.</w:t>
            </w:r>
          </w:p>
          <w:p w14:paraId="691B9FE8" w14:textId="212E4DB7" w:rsidR="00D357DA" w:rsidRDefault="00D357DA" w:rsidP="00D357DA">
            <w:pPr>
              <w:pStyle w:val="NoteToTenderers-ASDEFCON"/>
            </w:pPr>
            <w:r>
              <w:t xml:space="preserve">Note to tenderers:  The ACE measurement periods </w:t>
            </w:r>
            <w:r w:rsidR="00010142">
              <w:t xml:space="preserve">to be included in the format of </w:t>
            </w:r>
            <w:r w:rsidR="00010142">
              <w:fldChar w:fldCharType="begin"/>
            </w:r>
            <w:r w:rsidR="00010142">
              <w:instrText xml:space="preserve"> REF _Ref47944345 \h </w:instrText>
            </w:r>
            <w:r w:rsidR="00010142">
              <w:fldChar w:fldCharType="separate"/>
            </w:r>
            <w:r w:rsidR="00793ADB">
              <w:t>Table D-</w:t>
            </w:r>
            <w:r w:rsidR="00793ADB">
              <w:rPr>
                <w:noProof/>
              </w:rPr>
              <w:t>1</w:t>
            </w:r>
            <w:r w:rsidR="00010142">
              <w:fldChar w:fldCharType="end"/>
            </w:r>
            <w:r w:rsidR="00010142">
              <w:t xml:space="preserve"> (</w:t>
            </w:r>
            <w:r>
              <w:t>below</w:t>
            </w:r>
            <w:r w:rsidR="00010142">
              <w:t>)</w:t>
            </w:r>
            <w:r>
              <w:t xml:space="preserve"> should be </w:t>
            </w:r>
            <w:r w:rsidR="00010142">
              <w:t xml:space="preserve">the same as </w:t>
            </w:r>
            <w:r>
              <w:t>the periods for the Core Services worksheets in the SPTPW</w:t>
            </w:r>
            <w:r w:rsidR="00010142">
              <w:t>,</w:t>
            </w:r>
            <w:r>
              <w:t xml:space="preserve"> and match those tendered in response to TDR H-3 (</w:t>
            </w:r>
            <w:r w:rsidR="00010142">
              <w:t xml:space="preserve">refer to </w:t>
            </w:r>
            <w:r>
              <w:t xml:space="preserve">Table H-1).  The Prescribed ACE Percentages, to be tendered in response to </w:t>
            </w:r>
            <w:r w:rsidR="00010142">
              <w:t>TDR H-3, may be different to</w:t>
            </w:r>
            <w:r>
              <w:t xml:space="preserve"> but should be consistent with the calculated ACE percentages to be provided in the format of </w:t>
            </w:r>
            <w:r>
              <w:fldChar w:fldCharType="begin"/>
            </w:r>
            <w:r>
              <w:instrText xml:space="preserve"> REF _Ref47944345 \h </w:instrText>
            </w:r>
            <w:r>
              <w:fldChar w:fldCharType="separate"/>
            </w:r>
            <w:r w:rsidR="00793ADB">
              <w:t>Table D-</w:t>
            </w:r>
            <w:r w:rsidR="00793ADB">
              <w:rPr>
                <w:noProof/>
              </w:rPr>
              <w:t>1</w:t>
            </w:r>
            <w:r>
              <w:fldChar w:fldCharType="end"/>
            </w:r>
            <w:r>
              <w:t>.</w:t>
            </w:r>
            <w:r w:rsidR="00156A7B">
              <w:t xml:space="preserve">  Values for planned ACE in each period will be available from the Pricing Schedule worksheet of the SPTPW.  The values for planned ICE can be determined as the total contract expenditure calculated (for a given point in time), less the planned ACE, equals the planned ICE.</w:t>
            </w:r>
          </w:p>
          <w:p w14:paraId="77ABED60" w14:textId="12330F4B" w:rsidR="00D357DA" w:rsidRDefault="00D357DA" w:rsidP="00D357DA">
            <w:pPr>
              <w:pStyle w:val="ATTANNLV2-ASDEFCON"/>
            </w:pPr>
            <w:bookmarkStart w:id="32" w:name="_Ref97809179"/>
            <w:r>
              <w:t xml:space="preserve">Tenderers are provide, in relation to Recurring Services Fees (including Core Services Fees and, if applicable, Excluded Services Fees) for the Initial Term of any resultant Contract, calculated ACE Percentages that would be applicable to each ACE Measurement Point, in the format of </w:t>
            </w:r>
            <w:r>
              <w:fldChar w:fldCharType="begin"/>
            </w:r>
            <w:r>
              <w:instrText xml:space="preserve"> REF _Ref47944345 \h </w:instrText>
            </w:r>
            <w:r>
              <w:fldChar w:fldCharType="separate"/>
            </w:r>
            <w:r w:rsidR="00793ADB">
              <w:t>Table D-</w:t>
            </w:r>
            <w:r w:rsidR="00793ADB">
              <w:rPr>
                <w:noProof/>
              </w:rPr>
              <w:t>1</w:t>
            </w:r>
            <w:r>
              <w:fldChar w:fldCharType="end"/>
            </w:r>
            <w:r>
              <w:t>, where:</w:t>
            </w:r>
            <w:bookmarkEnd w:id="30"/>
            <w:bookmarkEnd w:id="32"/>
          </w:p>
          <w:p w14:paraId="19BE6899" w14:textId="31507797" w:rsidR="00D357DA" w:rsidRDefault="00D357DA" w:rsidP="00D357DA">
            <w:pPr>
              <w:pStyle w:val="COTCOCLV4-ASDEFCON"/>
            </w:pPr>
            <w:r>
              <w:t>ACE measurement periods (column a), including each ACE Measurement Point, correspond to the pricing periods applicable to each schedule for Core Services Fees as tendered in response to TDR D-</w:t>
            </w:r>
            <w:r>
              <w:fldChar w:fldCharType="begin"/>
            </w:r>
            <w:r>
              <w:instrText xml:space="preserve"> REF _Ref79502070 \r \h </w:instrText>
            </w:r>
            <w:r>
              <w:fldChar w:fldCharType="separate"/>
            </w:r>
            <w:r w:rsidR="00793ADB">
              <w:t>3</w:t>
            </w:r>
            <w:r>
              <w:fldChar w:fldCharType="end"/>
            </w:r>
            <w:r>
              <w:t xml:space="preserve"> (above);</w:t>
            </w:r>
          </w:p>
          <w:p w14:paraId="38BF7EA3" w14:textId="26DA798E" w:rsidR="00D357DA" w:rsidRDefault="00D357DA" w:rsidP="00D357DA">
            <w:pPr>
              <w:pStyle w:val="COTCOCLV4-ASDEFCON"/>
            </w:pPr>
            <w:r>
              <w:t>the</w:t>
            </w:r>
            <w:r w:rsidRPr="00DC2AE1">
              <w:t xml:space="preserve"> </w:t>
            </w:r>
            <w:r w:rsidR="00C91360">
              <w:t xml:space="preserve">planned </w:t>
            </w:r>
            <w:r>
              <w:t>ACE</w:t>
            </w:r>
            <w:r w:rsidRPr="00683764">
              <w:t xml:space="preserve"> </w:t>
            </w:r>
            <w:r>
              <w:t xml:space="preserve">amount (column b) and the </w:t>
            </w:r>
            <w:r w:rsidR="00C91360">
              <w:t xml:space="preserve">planned </w:t>
            </w:r>
            <w:r>
              <w:t>ICE amount (column c) for the applicable ACE measurement period, have been determined in accordance with clause</w:t>
            </w:r>
            <w:r w:rsidR="003248DB">
              <w:t xml:space="preserve"> </w:t>
            </w:r>
            <w:r w:rsidR="003248DB">
              <w:fldChar w:fldCharType="begin"/>
            </w:r>
            <w:r w:rsidR="003248DB">
              <w:instrText xml:space="preserve"> REF _Ref83970574 \r \h </w:instrText>
            </w:r>
            <w:r w:rsidR="003248DB">
              <w:fldChar w:fldCharType="separate"/>
            </w:r>
            <w:r w:rsidR="00793ADB">
              <w:t>11.1</w:t>
            </w:r>
            <w:r w:rsidR="003248DB">
              <w:fldChar w:fldCharType="end"/>
            </w:r>
            <w:r>
              <w:t xml:space="preserve"> and the values have been determined from the Proposed Payment Schedule required by TDR D-</w:t>
            </w:r>
            <w:r>
              <w:fldChar w:fldCharType="begin"/>
            </w:r>
            <w:r>
              <w:instrText xml:space="preserve"> REF _Ref385240826 \r \h </w:instrText>
            </w:r>
            <w:r>
              <w:fldChar w:fldCharType="separate"/>
            </w:r>
            <w:r w:rsidR="00793ADB">
              <w:t>7</w:t>
            </w:r>
            <w:r>
              <w:fldChar w:fldCharType="end"/>
            </w:r>
            <w:r>
              <w:t xml:space="preserve"> (and corresponding Core Services and Excluded Services worksheets in the SPTPW); and</w:t>
            </w:r>
          </w:p>
          <w:p w14:paraId="256A10E1" w14:textId="77777777" w:rsidR="00D357DA" w:rsidRDefault="00D357DA" w:rsidP="00D357DA">
            <w:pPr>
              <w:pStyle w:val="COTCOCLV4-ASDEFCON"/>
            </w:pPr>
            <w:r>
              <w:t>a calculated ACE percentage (column d), calculated in accordance with clause 8.1.1 of Attachment B to the draft COC.</w:t>
            </w:r>
          </w:p>
          <w:p w14:paraId="71163D29" w14:textId="18FDEA43" w:rsidR="00D357DA" w:rsidRPr="006F19DE" w:rsidRDefault="00D357DA" w:rsidP="00D357DA">
            <w:pPr>
              <w:pStyle w:val="Caption"/>
              <w:keepNext/>
            </w:pPr>
            <w:bookmarkStart w:id="33" w:name="_Ref47944345"/>
            <w:bookmarkStart w:id="34" w:name="_Ref83121704"/>
            <w:r w:rsidRPr="006F19DE">
              <w:t>Table D-</w:t>
            </w:r>
            <w:r w:rsidR="006F19DE" w:rsidRPr="006F19DE">
              <w:fldChar w:fldCharType="begin"/>
            </w:r>
            <w:r w:rsidR="006F19DE" w:rsidRPr="006F19DE">
              <w:instrText xml:space="preserve"> SEQ Table \* ARABIC </w:instrText>
            </w:r>
            <w:r w:rsidR="006F19DE" w:rsidRPr="006F19DE">
              <w:fldChar w:fldCharType="separate"/>
            </w:r>
            <w:r w:rsidR="00793ADB" w:rsidRPr="006F19DE">
              <w:rPr>
                <w:noProof/>
              </w:rPr>
              <w:t>1</w:t>
            </w:r>
            <w:r w:rsidR="006F19DE" w:rsidRPr="006F19DE">
              <w:rPr>
                <w:noProof/>
              </w:rPr>
              <w:fldChar w:fldCharType="end"/>
            </w:r>
            <w:bookmarkEnd w:id="33"/>
            <w:r w:rsidRPr="006F19DE">
              <w:t>: ACE Measurement Points and calculated ACE percentages</w:t>
            </w:r>
            <w:bookmarkEnd w:id="34"/>
          </w:p>
          <w:tbl>
            <w:tblPr>
              <w:tblStyle w:val="TableGrid1"/>
              <w:tblW w:w="8811" w:type="dxa"/>
              <w:tblInd w:w="17" w:type="dxa"/>
              <w:tblLayout w:type="fixed"/>
              <w:tblCellMar>
                <w:left w:w="57" w:type="dxa"/>
                <w:right w:w="57" w:type="dxa"/>
              </w:tblCellMar>
              <w:tblLook w:val="04A0" w:firstRow="1" w:lastRow="0" w:firstColumn="1" w:lastColumn="0" w:noHBand="0" w:noVBand="1"/>
            </w:tblPr>
            <w:tblGrid>
              <w:gridCol w:w="2693"/>
              <w:gridCol w:w="2694"/>
              <w:gridCol w:w="1275"/>
              <w:gridCol w:w="1134"/>
              <w:gridCol w:w="1015"/>
            </w:tblGrid>
            <w:tr w:rsidR="00D357DA" w:rsidRPr="00730D7F" w14:paraId="617B4040" w14:textId="77777777" w:rsidTr="00C91360">
              <w:trPr>
                <w:cantSplit/>
                <w:trHeight w:val="338"/>
              </w:trPr>
              <w:tc>
                <w:tcPr>
                  <w:tcW w:w="5387" w:type="dxa"/>
                  <w:gridSpan w:val="2"/>
                  <w:shd w:val="pct15" w:color="auto" w:fill="auto"/>
                </w:tcPr>
                <w:p w14:paraId="7D353B49" w14:textId="77777777" w:rsidR="00D357DA" w:rsidRPr="00866302" w:rsidRDefault="00D357DA" w:rsidP="00D357DA">
                  <w:pPr>
                    <w:pStyle w:val="Table8ptHeading-ASDEFCON"/>
                  </w:pPr>
                  <w:r>
                    <w:t>ACE m</w:t>
                  </w:r>
                  <w:r w:rsidRPr="00866302">
                    <w:t xml:space="preserve">easurement </w:t>
                  </w:r>
                  <w:r>
                    <w:t>period</w:t>
                  </w:r>
                  <w:r w:rsidRPr="00866302">
                    <w:br/>
                    <w:t>(a)</w:t>
                  </w:r>
                </w:p>
              </w:tc>
              <w:tc>
                <w:tcPr>
                  <w:tcW w:w="1275" w:type="dxa"/>
                  <w:vMerge w:val="restart"/>
                  <w:shd w:val="pct15" w:color="auto" w:fill="auto"/>
                </w:tcPr>
                <w:p w14:paraId="7E306736" w14:textId="04881250" w:rsidR="00D357DA" w:rsidRPr="00866302" w:rsidRDefault="00C91360" w:rsidP="00D357DA">
                  <w:pPr>
                    <w:pStyle w:val="Table8ptHeading-ASDEFCON"/>
                  </w:pPr>
                  <w:r>
                    <w:t xml:space="preserve">Planned </w:t>
                  </w:r>
                  <w:r w:rsidR="00D357DA" w:rsidRPr="00866302">
                    <w:t>ACE ($)</w:t>
                  </w:r>
                  <w:r w:rsidR="00D357DA" w:rsidRPr="00866302">
                    <w:br/>
                    <w:t>(b)</w:t>
                  </w:r>
                </w:p>
              </w:tc>
              <w:tc>
                <w:tcPr>
                  <w:tcW w:w="1134" w:type="dxa"/>
                  <w:vMerge w:val="restart"/>
                  <w:shd w:val="pct15" w:color="auto" w:fill="auto"/>
                </w:tcPr>
                <w:p w14:paraId="21F48106" w14:textId="623BD900" w:rsidR="00D357DA" w:rsidRPr="00866302" w:rsidRDefault="00C91360" w:rsidP="00D357DA">
                  <w:pPr>
                    <w:pStyle w:val="Table8ptHeading-ASDEFCON"/>
                  </w:pPr>
                  <w:r>
                    <w:t xml:space="preserve">Planned </w:t>
                  </w:r>
                  <w:r w:rsidR="00D357DA" w:rsidRPr="00866302">
                    <w:t>ICE</w:t>
                  </w:r>
                  <w:r w:rsidR="00D357DA">
                    <w:t xml:space="preserve"> </w:t>
                  </w:r>
                  <w:r w:rsidR="00D357DA" w:rsidRPr="00866302">
                    <w:t>($)</w:t>
                  </w:r>
                  <w:r w:rsidR="00D357DA">
                    <w:br/>
                  </w:r>
                  <w:r w:rsidR="00D357DA" w:rsidRPr="00866302">
                    <w:t>(c)</w:t>
                  </w:r>
                </w:p>
              </w:tc>
              <w:tc>
                <w:tcPr>
                  <w:tcW w:w="1015" w:type="dxa"/>
                  <w:vMerge w:val="restart"/>
                  <w:shd w:val="pct15" w:color="auto" w:fill="auto"/>
                </w:tcPr>
                <w:p w14:paraId="3C068724" w14:textId="77777777" w:rsidR="00D357DA" w:rsidRPr="00866302" w:rsidRDefault="00D357DA" w:rsidP="00D357DA">
                  <w:pPr>
                    <w:pStyle w:val="Table8ptHeading-ASDEFCON"/>
                  </w:pPr>
                  <w:r w:rsidRPr="00866302">
                    <w:t xml:space="preserve">Calculated ACE% </w:t>
                  </w:r>
                  <w:r w:rsidRPr="00866302">
                    <w:br/>
                    <w:t>(d)</w:t>
                  </w:r>
                </w:p>
              </w:tc>
            </w:tr>
            <w:tr w:rsidR="00D357DA" w:rsidRPr="00730D7F" w14:paraId="028E5C46" w14:textId="77777777" w:rsidTr="00C91360">
              <w:trPr>
                <w:cantSplit/>
                <w:trHeight w:val="337"/>
              </w:trPr>
              <w:tc>
                <w:tcPr>
                  <w:tcW w:w="2693" w:type="dxa"/>
                  <w:shd w:val="pct15" w:color="auto" w:fill="auto"/>
                </w:tcPr>
                <w:p w14:paraId="505CBEBA" w14:textId="77777777" w:rsidR="00D357DA" w:rsidRPr="00866302" w:rsidRDefault="00D357DA" w:rsidP="00D357DA">
                  <w:pPr>
                    <w:pStyle w:val="Table8ptHeading-ASDEFCON"/>
                  </w:pPr>
                  <w:r>
                    <w:t>Start</w:t>
                  </w:r>
                </w:p>
              </w:tc>
              <w:tc>
                <w:tcPr>
                  <w:tcW w:w="2694" w:type="dxa"/>
                  <w:shd w:val="pct15" w:color="auto" w:fill="auto"/>
                </w:tcPr>
                <w:p w14:paraId="110DB97E" w14:textId="77777777" w:rsidR="00D357DA" w:rsidRPr="00866302" w:rsidRDefault="00D357DA" w:rsidP="00D357DA">
                  <w:pPr>
                    <w:pStyle w:val="Table8ptHeading-ASDEFCON"/>
                  </w:pPr>
                  <w:r>
                    <w:t>ACE Measurement Point</w:t>
                  </w:r>
                </w:p>
              </w:tc>
              <w:tc>
                <w:tcPr>
                  <w:tcW w:w="1275" w:type="dxa"/>
                  <w:vMerge/>
                  <w:shd w:val="pct15" w:color="auto" w:fill="auto"/>
                </w:tcPr>
                <w:p w14:paraId="5691DB08" w14:textId="77777777" w:rsidR="00D357DA" w:rsidRPr="00866302" w:rsidRDefault="00D357DA" w:rsidP="00D357DA">
                  <w:pPr>
                    <w:pStyle w:val="Table8ptHeading-ASDEFCON"/>
                  </w:pPr>
                </w:p>
              </w:tc>
              <w:tc>
                <w:tcPr>
                  <w:tcW w:w="1134" w:type="dxa"/>
                  <w:vMerge/>
                  <w:shd w:val="pct15" w:color="auto" w:fill="auto"/>
                </w:tcPr>
                <w:p w14:paraId="348CADF4" w14:textId="77777777" w:rsidR="00D357DA" w:rsidRPr="00866302" w:rsidRDefault="00D357DA" w:rsidP="00D357DA">
                  <w:pPr>
                    <w:pStyle w:val="Table8ptHeading-ASDEFCON"/>
                  </w:pPr>
                </w:p>
              </w:tc>
              <w:tc>
                <w:tcPr>
                  <w:tcW w:w="1015" w:type="dxa"/>
                  <w:vMerge/>
                  <w:shd w:val="pct15" w:color="auto" w:fill="auto"/>
                </w:tcPr>
                <w:p w14:paraId="13FA40A3" w14:textId="77777777" w:rsidR="00D357DA" w:rsidRPr="00866302" w:rsidRDefault="00D357DA" w:rsidP="00D357DA">
                  <w:pPr>
                    <w:pStyle w:val="Table8ptHeading-ASDEFCON"/>
                  </w:pPr>
                </w:p>
              </w:tc>
            </w:tr>
            <w:tr w:rsidR="00D357DA" w14:paraId="78FB2EAB" w14:textId="77777777" w:rsidTr="00C91360">
              <w:trPr>
                <w:cantSplit/>
              </w:trPr>
              <w:tc>
                <w:tcPr>
                  <w:tcW w:w="2693" w:type="dxa"/>
                </w:tcPr>
                <w:p w14:paraId="2A769F9B" w14:textId="77777777" w:rsidR="00D357DA" w:rsidRPr="00866302" w:rsidRDefault="00D357DA" w:rsidP="00D357DA">
                  <w:pPr>
                    <w:pStyle w:val="Table8ptText-ASDEFCON"/>
                  </w:pPr>
                </w:p>
              </w:tc>
              <w:tc>
                <w:tcPr>
                  <w:tcW w:w="2694" w:type="dxa"/>
                </w:tcPr>
                <w:p w14:paraId="23D5BD4D" w14:textId="77777777" w:rsidR="00D357DA" w:rsidRPr="00866302" w:rsidRDefault="00D357DA" w:rsidP="00D357DA">
                  <w:pPr>
                    <w:pStyle w:val="Table8ptText-ASDEFCON"/>
                  </w:pPr>
                </w:p>
              </w:tc>
              <w:tc>
                <w:tcPr>
                  <w:tcW w:w="1275" w:type="dxa"/>
                </w:tcPr>
                <w:p w14:paraId="59CC0218" w14:textId="77777777" w:rsidR="00D357DA" w:rsidRPr="00156CE3" w:rsidRDefault="00D357DA" w:rsidP="00D357DA">
                  <w:pPr>
                    <w:pStyle w:val="Table8ptText-ASDEFCON"/>
                  </w:pPr>
                </w:p>
              </w:tc>
              <w:tc>
                <w:tcPr>
                  <w:tcW w:w="1134" w:type="dxa"/>
                </w:tcPr>
                <w:p w14:paraId="02794BBB" w14:textId="77777777" w:rsidR="00D357DA" w:rsidRPr="00156CE3" w:rsidRDefault="00D357DA" w:rsidP="00D357DA">
                  <w:pPr>
                    <w:pStyle w:val="Table8ptText-ASDEFCON"/>
                  </w:pPr>
                </w:p>
              </w:tc>
              <w:tc>
                <w:tcPr>
                  <w:tcW w:w="1015" w:type="dxa"/>
                </w:tcPr>
                <w:p w14:paraId="025B05D3" w14:textId="77777777" w:rsidR="00D357DA" w:rsidRPr="000F7B60" w:rsidRDefault="00D357DA" w:rsidP="00D357DA">
                  <w:pPr>
                    <w:pStyle w:val="Table8ptText-ASDEFCON"/>
                    <w:jc w:val="center"/>
                  </w:pPr>
                  <w:r>
                    <w:fldChar w:fldCharType="begin">
                      <w:ffData>
                        <w:name w:val="Text28"/>
                        <w:enabled/>
                        <w:calcOnExit w:val="0"/>
                        <w:textInput>
                          <w:default w:val="( )"/>
                        </w:textInput>
                      </w:ffData>
                    </w:fldChar>
                  </w:r>
                  <w:r>
                    <w:instrText xml:space="preserve"> FORMTEXT </w:instrText>
                  </w:r>
                  <w:r>
                    <w:fldChar w:fldCharType="separate"/>
                  </w:r>
                  <w:r>
                    <w:rPr>
                      <w:noProof/>
                    </w:rPr>
                    <w:t>( )</w:t>
                  </w:r>
                  <w:r>
                    <w:fldChar w:fldCharType="end"/>
                  </w:r>
                  <w:r>
                    <w:t>%</w:t>
                  </w:r>
                </w:p>
              </w:tc>
            </w:tr>
            <w:tr w:rsidR="00D357DA" w14:paraId="13036557" w14:textId="77777777" w:rsidTr="00C91360">
              <w:trPr>
                <w:cantSplit/>
              </w:trPr>
              <w:tc>
                <w:tcPr>
                  <w:tcW w:w="2693" w:type="dxa"/>
                </w:tcPr>
                <w:p w14:paraId="573A3DBE" w14:textId="77777777" w:rsidR="00D357DA" w:rsidRPr="00866302" w:rsidRDefault="00D357DA" w:rsidP="00D357DA">
                  <w:pPr>
                    <w:pStyle w:val="Table8ptText-ASDEFCON"/>
                  </w:pPr>
                </w:p>
              </w:tc>
              <w:tc>
                <w:tcPr>
                  <w:tcW w:w="2694" w:type="dxa"/>
                </w:tcPr>
                <w:p w14:paraId="705F7C4F" w14:textId="77777777" w:rsidR="00D357DA" w:rsidRPr="00866302" w:rsidRDefault="00D357DA" w:rsidP="00D357DA">
                  <w:pPr>
                    <w:pStyle w:val="Table8ptText-ASDEFCON"/>
                  </w:pPr>
                </w:p>
              </w:tc>
              <w:tc>
                <w:tcPr>
                  <w:tcW w:w="1275" w:type="dxa"/>
                </w:tcPr>
                <w:p w14:paraId="1A30DE2F" w14:textId="77777777" w:rsidR="00D357DA" w:rsidRPr="00156CE3" w:rsidRDefault="00D357DA" w:rsidP="00D357DA">
                  <w:pPr>
                    <w:pStyle w:val="Table8ptText-ASDEFCON"/>
                  </w:pPr>
                </w:p>
              </w:tc>
              <w:tc>
                <w:tcPr>
                  <w:tcW w:w="1134" w:type="dxa"/>
                </w:tcPr>
                <w:p w14:paraId="5FC871BC" w14:textId="77777777" w:rsidR="00D357DA" w:rsidRPr="00156CE3" w:rsidRDefault="00D357DA" w:rsidP="00D357DA">
                  <w:pPr>
                    <w:pStyle w:val="Table8ptText-ASDEFCON"/>
                  </w:pPr>
                </w:p>
              </w:tc>
              <w:tc>
                <w:tcPr>
                  <w:tcW w:w="1015" w:type="dxa"/>
                </w:tcPr>
                <w:p w14:paraId="27C03023" w14:textId="77777777" w:rsidR="00D357DA" w:rsidRPr="000F7B60" w:rsidRDefault="00D357DA" w:rsidP="00D357DA">
                  <w:pPr>
                    <w:pStyle w:val="Table8ptText-ASDEFCON"/>
                    <w:jc w:val="center"/>
                  </w:pPr>
                  <w:r>
                    <w:fldChar w:fldCharType="begin">
                      <w:ffData>
                        <w:name w:val="Text28"/>
                        <w:enabled/>
                        <w:calcOnExit w:val="0"/>
                        <w:textInput>
                          <w:default w:val="( )"/>
                        </w:textInput>
                      </w:ffData>
                    </w:fldChar>
                  </w:r>
                  <w:r>
                    <w:instrText xml:space="preserve"> FORMTEXT </w:instrText>
                  </w:r>
                  <w:r>
                    <w:fldChar w:fldCharType="separate"/>
                  </w:r>
                  <w:r>
                    <w:rPr>
                      <w:noProof/>
                    </w:rPr>
                    <w:t>( )</w:t>
                  </w:r>
                  <w:r>
                    <w:fldChar w:fldCharType="end"/>
                  </w:r>
                  <w:r w:rsidRPr="000F7B60">
                    <w:t>%</w:t>
                  </w:r>
                </w:p>
              </w:tc>
            </w:tr>
            <w:tr w:rsidR="00D357DA" w14:paraId="07CBF586" w14:textId="77777777" w:rsidTr="00C91360">
              <w:trPr>
                <w:cantSplit/>
              </w:trPr>
              <w:tc>
                <w:tcPr>
                  <w:tcW w:w="2693" w:type="dxa"/>
                </w:tcPr>
                <w:p w14:paraId="04537E0B" w14:textId="77777777" w:rsidR="00D357DA" w:rsidRPr="00866302" w:rsidRDefault="00D357DA" w:rsidP="00D357DA">
                  <w:pPr>
                    <w:pStyle w:val="Table8ptText-ASDEFCON"/>
                  </w:pPr>
                </w:p>
              </w:tc>
              <w:tc>
                <w:tcPr>
                  <w:tcW w:w="2694" w:type="dxa"/>
                </w:tcPr>
                <w:p w14:paraId="121731C2" w14:textId="77777777" w:rsidR="00D357DA" w:rsidRPr="00866302" w:rsidRDefault="00D357DA" w:rsidP="00D357DA">
                  <w:pPr>
                    <w:pStyle w:val="Table8ptText-ASDEFCON"/>
                  </w:pPr>
                </w:p>
              </w:tc>
              <w:tc>
                <w:tcPr>
                  <w:tcW w:w="1275" w:type="dxa"/>
                </w:tcPr>
                <w:p w14:paraId="1EDC9713" w14:textId="77777777" w:rsidR="00D357DA" w:rsidRPr="00156CE3" w:rsidRDefault="00D357DA" w:rsidP="00D357DA">
                  <w:pPr>
                    <w:pStyle w:val="Table8ptText-ASDEFCON"/>
                  </w:pPr>
                </w:p>
              </w:tc>
              <w:tc>
                <w:tcPr>
                  <w:tcW w:w="1134" w:type="dxa"/>
                </w:tcPr>
                <w:p w14:paraId="0F9C8534" w14:textId="77777777" w:rsidR="00D357DA" w:rsidRPr="00156CE3" w:rsidRDefault="00D357DA" w:rsidP="00D357DA">
                  <w:pPr>
                    <w:pStyle w:val="Table8ptText-ASDEFCON"/>
                  </w:pPr>
                </w:p>
              </w:tc>
              <w:tc>
                <w:tcPr>
                  <w:tcW w:w="1015" w:type="dxa"/>
                </w:tcPr>
                <w:p w14:paraId="02AED271" w14:textId="77777777" w:rsidR="00D357DA" w:rsidRPr="000F7B60" w:rsidRDefault="00D357DA" w:rsidP="00D357DA">
                  <w:pPr>
                    <w:pStyle w:val="Table8ptText-ASDEFCON"/>
                    <w:jc w:val="center"/>
                  </w:pPr>
                  <w:r>
                    <w:fldChar w:fldCharType="begin">
                      <w:ffData>
                        <w:name w:val="Text28"/>
                        <w:enabled/>
                        <w:calcOnExit w:val="0"/>
                        <w:textInput>
                          <w:default w:val="( )"/>
                        </w:textInput>
                      </w:ffData>
                    </w:fldChar>
                  </w:r>
                  <w:r>
                    <w:instrText xml:space="preserve"> FORMTEXT </w:instrText>
                  </w:r>
                  <w:r>
                    <w:fldChar w:fldCharType="separate"/>
                  </w:r>
                  <w:r>
                    <w:rPr>
                      <w:noProof/>
                    </w:rPr>
                    <w:t>( )</w:t>
                  </w:r>
                  <w:r>
                    <w:fldChar w:fldCharType="end"/>
                  </w:r>
                  <w:r w:rsidRPr="000F7B60">
                    <w:t>%</w:t>
                  </w:r>
                </w:p>
              </w:tc>
            </w:tr>
            <w:tr w:rsidR="00D357DA" w14:paraId="6799713F" w14:textId="77777777" w:rsidTr="00C91360">
              <w:trPr>
                <w:cantSplit/>
              </w:trPr>
              <w:tc>
                <w:tcPr>
                  <w:tcW w:w="2693" w:type="dxa"/>
                </w:tcPr>
                <w:p w14:paraId="3696B933" w14:textId="77777777" w:rsidR="00D357DA" w:rsidRPr="00866302" w:rsidRDefault="00D357DA" w:rsidP="00D357DA">
                  <w:pPr>
                    <w:pStyle w:val="Table8ptText-ASDEFCON"/>
                  </w:pPr>
                </w:p>
              </w:tc>
              <w:tc>
                <w:tcPr>
                  <w:tcW w:w="2694" w:type="dxa"/>
                </w:tcPr>
                <w:p w14:paraId="4F4BA7BE" w14:textId="77777777" w:rsidR="00D357DA" w:rsidRPr="00866302" w:rsidRDefault="00D357DA" w:rsidP="00D357DA">
                  <w:pPr>
                    <w:pStyle w:val="Table8ptText-ASDEFCON"/>
                  </w:pPr>
                </w:p>
              </w:tc>
              <w:tc>
                <w:tcPr>
                  <w:tcW w:w="1275" w:type="dxa"/>
                </w:tcPr>
                <w:p w14:paraId="246F06DB" w14:textId="77777777" w:rsidR="00D357DA" w:rsidRPr="00156CE3" w:rsidRDefault="00D357DA" w:rsidP="00D357DA">
                  <w:pPr>
                    <w:pStyle w:val="Table8ptText-ASDEFCON"/>
                  </w:pPr>
                </w:p>
              </w:tc>
              <w:tc>
                <w:tcPr>
                  <w:tcW w:w="1134" w:type="dxa"/>
                </w:tcPr>
                <w:p w14:paraId="5266C970" w14:textId="77777777" w:rsidR="00D357DA" w:rsidRPr="00156CE3" w:rsidRDefault="00D357DA" w:rsidP="00D357DA">
                  <w:pPr>
                    <w:pStyle w:val="Table8ptText-ASDEFCON"/>
                  </w:pPr>
                </w:p>
              </w:tc>
              <w:tc>
                <w:tcPr>
                  <w:tcW w:w="1015" w:type="dxa"/>
                </w:tcPr>
                <w:p w14:paraId="4C4AAB46" w14:textId="77777777" w:rsidR="00D357DA" w:rsidRPr="000F7B60" w:rsidRDefault="00D357DA" w:rsidP="00D357DA">
                  <w:pPr>
                    <w:pStyle w:val="Table8ptText-ASDEFCON"/>
                    <w:jc w:val="center"/>
                  </w:pPr>
                  <w:r>
                    <w:fldChar w:fldCharType="begin">
                      <w:ffData>
                        <w:name w:val="Text28"/>
                        <w:enabled/>
                        <w:calcOnExit w:val="0"/>
                        <w:textInput>
                          <w:default w:val="( )"/>
                        </w:textInput>
                      </w:ffData>
                    </w:fldChar>
                  </w:r>
                  <w:r>
                    <w:instrText xml:space="preserve"> FORMTEXT </w:instrText>
                  </w:r>
                  <w:r>
                    <w:fldChar w:fldCharType="separate"/>
                  </w:r>
                  <w:r>
                    <w:rPr>
                      <w:noProof/>
                    </w:rPr>
                    <w:t>( )</w:t>
                  </w:r>
                  <w:r>
                    <w:fldChar w:fldCharType="end"/>
                  </w:r>
                  <w:r w:rsidRPr="000F7B60">
                    <w:t>%</w:t>
                  </w:r>
                </w:p>
              </w:tc>
            </w:tr>
          </w:tbl>
          <w:p w14:paraId="049A6F68" w14:textId="77777777" w:rsidR="00D357DA" w:rsidRDefault="00D357DA" w:rsidP="00D357DA">
            <w:pPr>
              <w:pStyle w:val="ASDEFCONOptionSpace"/>
            </w:pPr>
          </w:p>
          <w:p w14:paraId="0F1E78AF" w14:textId="15C6A4A4" w:rsidR="00D357DA" w:rsidRDefault="00D357DA" w:rsidP="00793ADB">
            <w:pPr>
              <w:pStyle w:val="ATTANNLV2-ASDEFCON"/>
            </w:pPr>
            <w:r>
              <w:t>Tenderers are to provide justif</w:t>
            </w:r>
            <w:r w:rsidR="006B4475">
              <w:t>ication</w:t>
            </w:r>
            <w:r>
              <w:t xml:space="preserve"> for any difference between the calculated ACE percentages provided in response to clause </w:t>
            </w:r>
            <w:r w:rsidR="00793ADB">
              <w:fldChar w:fldCharType="begin"/>
            </w:r>
            <w:r w:rsidR="00793ADB">
              <w:instrText xml:space="preserve"> REF _Ref97809179 \r \h </w:instrText>
            </w:r>
            <w:r w:rsidR="00793ADB">
              <w:fldChar w:fldCharType="separate"/>
            </w:r>
            <w:r w:rsidR="00793ADB">
              <w:t>11.3</w:t>
            </w:r>
            <w:r w:rsidR="00793ADB">
              <w:fldChar w:fldCharType="end"/>
            </w:r>
            <w:r>
              <w:t>, and the Prescribed ACE Percentages tendered in response to clause 3 of Annex H to Attachment A to the COT.</w:t>
            </w:r>
          </w:p>
        </w:tc>
      </w:tr>
    </w:tbl>
    <w:p w14:paraId="4A1415A7" w14:textId="77777777" w:rsidR="00F37F7C" w:rsidRDefault="00F37F7C" w:rsidP="00F37F7C">
      <w:pPr>
        <w:pStyle w:val="ATTANNLV1-ASDEFCON"/>
      </w:pPr>
      <w:bookmarkStart w:id="35" w:name="_Ref97809085"/>
      <w:r>
        <w:t>ALTERNATE AND ADDITIONAL DEEMING RATES (CORE)</w:t>
      </w:r>
      <w:bookmarkEnd w:id="31"/>
      <w:bookmarkEnd w:id="35"/>
    </w:p>
    <w:p w14:paraId="7F8F85D9" w14:textId="04CF4D4C" w:rsidR="00F37F7C" w:rsidRDefault="00F37F7C" w:rsidP="00F37F7C">
      <w:pPr>
        <w:pStyle w:val="ATTANNReferencetoCOC"/>
      </w:pPr>
      <w:r>
        <w:t xml:space="preserve">Draft COC reference: Attachment B clause </w:t>
      </w:r>
      <w:r w:rsidR="0007560D">
        <w:t>8</w:t>
      </w:r>
      <w:r w:rsidR="00B04137">
        <w:t>.2</w:t>
      </w:r>
    </w:p>
    <w:p w14:paraId="400EE266" w14:textId="2336149D" w:rsidR="00F37F7C" w:rsidRPr="0005240F" w:rsidRDefault="00F37F7C" w:rsidP="00F37F7C">
      <w:pPr>
        <w:pStyle w:val="NoteToTenderers-ASDEFCON"/>
      </w:pPr>
      <w:r w:rsidRPr="0005240F">
        <w:t xml:space="preserve">Note to </w:t>
      </w:r>
      <w:r>
        <w:t>tenderers</w:t>
      </w:r>
      <w:r w:rsidRPr="0005240F">
        <w:t xml:space="preserve">: </w:t>
      </w:r>
      <w:r w:rsidR="00956A20">
        <w:t>Table B-</w:t>
      </w:r>
      <w:r w:rsidR="00B04137">
        <w:t>2</w:t>
      </w:r>
      <w:r>
        <w:t xml:space="preserve"> under clause </w:t>
      </w:r>
      <w:r w:rsidR="0007560D">
        <w:t>8</w:t>
      </w:r>
      <w:r w:rsidRPr="0089648C">
        <w:t>.2</w:t>
      </w:r>
      <w:r w:rsidRPr="0005240F">
        <w:t xml:space="preserve"> </w:t>
      </w:r>
      <w:r>
        <w:t xml:space="preserve">of Attachment B </w:t>
      </w:r>
      <w:r w:rsidRPr="0005240F">
        <w:t xml:space="preserve">may be pre-populated with </w:t>
      </w:r>
      <w:r>
        <w:t xml:space="preserve">some </w:t>
      </w:r>
      <w:r w:rsidRPr="0005240F">
        <w:t xml:space="preserve">alternate </w:t>
      </w:r>
      <w:r w:rsidRPr="00195CDE">
        <w:t xml:space="preserve">and/or additional </w:t>
      </w:r>
      <w:r w:rsidRPr="00CD5A29">
        <w:t>Subcontract categories, thresholds and deemed ACE and ICE</w:t>
      </w:r>
      <w:r w:rsidRPr="00F37F7C">
        <w:t xml:space="preserve"> </w:t>
      </w:r>
      <w:r w:rsidRPr="00CD5A29">
        <w:t xml:space="preserve">percentages to </w:t>
      </w:r>
      <w:r w:rsidRPr="0005240F">
        <w:t>those listed in the ACE Measurement Rules</w:t>
      </w:r>
      <w:r>
        <w:t>.</w:t>
      </w:r>
      <w:r w:rsidRPr="0005240F">
        <w:t xml:space="preserve"> </w:t>
      </w:r>
      <w:r>
        <w:t xml:space="preserve"> Tenderers may </w:t>
      </w:r>
      <w:r w:rsidRPr="00CD5A29">
        <w:t>also</w:t>
      </w:r>
      <w:r>
        <w:t xml:space="preserve"> propose alternate </w:t>
      </w:r>
      <w:r w:rsidRPr="00CD5A29">
        <w:t>and/</w:t>
      </w:r>
      <w:r>
        <w:t xml:space="preserve">or additional </w:t>
      </w:r>
      <w:r w:rsidRPr="00CD5A29">
        <w:t>Subcontract categories, thresholds and deemed ACE and ICE percentages</w:t>
      </w:r>
      <w:r w:rsidRPr="00CD5A29" w:rsidDel="00195CDE">
        <w:t xml:space="preserve"> </w:t>
      </w:r>
      <w:r>
        <w:t xml:space="preserve">that, subject to confirmation </w:t>
      </w:r>
      <w:r w:rsidR="00272AB7">
        <w:t>by Defence’s Financial Investigation Services (FIS)</w:t>
      </w:r>
      <w:r>
        <w:t>, will be considered for use under any resultant Contract</w:t>
      </w:r>
      <w:r w:rsidRPr="0005240F">
        <w:t>.</w:t>
      </w:r>
      <w:r>
        <w:t xml:space="preserve">  If FIS has </w:t>
      </w:r>
      <w:r w:rsidR="00272AB7">
        <w:t>previously confirmed</w:t>
      </w:r>
      <w:r>
        <w:t xml:space="preserve"> proposed alternate </w:t>
      </w:r>
      <w:r w:rsidRPr="00CD5A29">
        <w:t>and/or additional</w:t>
      </w:r>
      <w:r>
        <w:t xml:space="preserve"> </w:t>
      </w:r>
      <w:r w:rsidRPr="00CD5A29">
        <w:t>Subcontract categories, thresholds and deemed ACE and ICE percentages</w:t>
      </w:r>
      <w:r>
        <w:t xml:space="preserve"> for a tenderer, </w:t>
      </w:r>
      <w:r w:rsidR="00272AB7" w:rsidRPr="00506A66">
        <w:t>and the same Subcontractor(s) will be used for the proposed Contract,</w:t>
      </w:r>
      <w:r w:rsidR="00272AB7">
        <w:t xml:space="preserve"> for a like purpose, </w:t>
      </w:r>
      <w:r>
        <w:t xml:space="preserve">then </w:t>
      </w:r>
      <w:r w:rsidR="004675EF" w:rsidRPr="00506A66">
        <w:t xml:space="preserve">these confirmed rates </w:t>
      </w:r>
      <w:r w:rsidR="004675EF">
        <w:t>may</w:t>
      </w:r>
      <w:r w:rsidR="004675EF" w:rsidRPr="00506A66">
        <w:t xml:space="preserve"> be used in the tendered pricing information</w:t>
      </w:r>
      <w:r w:rsidR="004675EF">
        <w:t xml:space="preserve"> and </w:t>
      </w:r>
      <w:r>
        <w:t>the tenderer should note that these have already been confirmed.</w:t>
      </w:r>
      <w:r w:rsidR="00664204">
        <w:t xml:space="preserve">  </w:t>
      </w:r>
      <w:r w:rsidR="004675EF">
        <w:t xml:space="preserve">Any new </w:t>
      </w:r>
      <w:r w:rsidR="004675EF">
        <w:lastRenderedPageBreak/>
        <w:t>proposed d</w:t>
      </w:r>
      <w:r w:rsidR="00664204">
        <w:t xml:space="preserve">eeming rates </w:t>
      </w:r>
      <w:r w:rsidR="004675EF">
        <w:t>must be</w:t>
      </w:r>
      <w:r w:rsidR="00664204">
        <w:t xml:space="preserve"> confirmed by FIS </w:t>
      </w:r>
      <w:r w:rsidR="004675EF">
        <w:t xml:space="preserve">prior to inclusion in any </w:t>
      </w:r>
      <w:r w:rsidR="00664204">
        <w:t xml:space="preserve">tendered </w:t>
      </w:r>
      <w:r w:rsidR="004675EF">
        <w:t>pricing and/or any resultant Contract</w:t>
      </w:r>
      <w:r w:rsidR="00664204">
        <w:t>.</w:t>
      </w:r>
    </w:p>
    <w:p w14:paraId="1610339B" w14:textId="582D60B3" w:rsidR="00F37F7C" w:rsidRDefault="00F37F7C" w:rsidP="00F37F7C">
      <w:pPr>
        <w:pStyle w:val="ATTANNLV2-ASDEFCON"/>
      </w:pPr>
      <w:r w:rsidRPr="00CD5A29">
        <w:t>T</w:t>
      </w:r>
      <w:r>
        <w:t xml:space="preserve">enderers may propose alternate and/or additional </w:t>
      </w:r>
      <w:r w:rsidRPr="00CD5A29">
        <w:t>Sub</w:t>
      </w:r>
      <w:r w:rsidR="00625DA0">
        <w:t>contract categories, thresholds</w:t>
      </w:r>
      <w:r w:rsidRPr="00CD5A29">
        <w:t xml:space="preserve"> </w:t>
      </w:r>
      <w:r w:rsidR="00625DA0">
        <w:t>a</w:t>
      </w:r>
      <w:r w:rsidRPr="00CD5A29">
        <w:t>nd deemed ACE and ICE percentages</w:t>
      </w:r>
      <w:r w:rsidRPr="00CD5A29" w:rsidDel="002A2BA2">
        <w:t xml:space="preserve"> </w:t>
      </w:r>
      <w:r>
        <w:t xml:space="preserve">to those listed in section 3 of the ACE Measurement Rules and, if applicable, clause </w:t>
      </w:r>
      <w:r w:rsidR="0007560D">
        <w:t>8</w:t>
      </w:r>
      <w:r>
        <w:t xml:space="preserve">.2.1 of draft Attachment B, by providing a response in the format of </w:t>
      </w:r>
      <w:r>
        <w:fldChar w:fldCharType="begin"/>
      </w:r>
      <w:r>
        <w:instrText xml:space="preserve"> REF _Ref74311223 \h </w:instrText>
      </w:r>
      <w:r>
        <w:fldChar w:fldCharType="separate"/>
      </w:r>
      <w:r w:rsidR="00793ADB">
        <w:t>Table D-</w:t>
      </w:r>
      <w:r w:rsidR="00793ADB">
        <w:rPr>
          <w:noProof/>
        </w:rPr>
        <w:t>2</w:t>
      </w:r>
      <w:r>
        <w:fldChar w:fldCharType="end"/>
      </w:r>
      <w:r>
        <w:t xml:space="preserve">.  Subject to confirmation, these </w:t>
      </w:r>
      <w:r w:rsidRPr="00570650">
        <w:t>alternate and/or additional Subcontract categories, thresholds and deemed ACE and ICE percentages</w:t>
      </w:r>
      <w:r w:rsidRPr="00570650" w:rsidDel="002A2BA2">
        <w:t xml:space="preserve"> </w:t>
      </w:r>
      <w:r>
        <w:t xml:space="preserve">will be considered by the Commonwealth for inclusion in clause </w:t>
      </w:r>
      <w:r w:rsidR="0007560D">
        <w:t>8</w:t>
      </w:r>
      <w:r>
        <w:t>.2 of Attachment B of any resultant Contract.</w:t>
      </w:r>
    </w:p>
    <w:p w14:paraId="06987EE7" w14:textId="1FF980BB" w:rsidR="00F37F7C" w:rsidRPr="006F19DE" w:rsidRDefault="00F37F7C" w:rsidP="00F37F7C">
      <w:pPr>
        <w:pStyle w:val="Caption"/>
        <w:keepNext/>
      </w:pPr>
      <w:bookmarkStart w:id="36" w:name="_Ref74311223"/>
      <w:r w:rsidRPr="006F19DE">
        <w:t>Table D-</w:t>
      </w:r>
      <w:r w:rsidR="006F19DE" w:rsidRPr="006F19DE">
        <w:fldChar w:fldCharType="begin"/>
      </w:r>
      <w:r w:rsidR="006F19DE" w:rsidRPr="006F19DE">
        <w:instrText xml:space="preserve"> SEQ Table \* ARABIC </w:instrText>
      </w:r>
      <w:r w:rsidR="006F19DE" w:rsidRPr="006F19DE">
        <w:fldChar w:fldCharType="separate"/>
      </w:r>
      <w:r w:rsidR="00793ADB" w:rsidRPr="006F19DE">
        <w:rPr>
          <w:noProof/>
        </w:rPr>
        <w:t>2</w:t>
      </w:r>
      <w:r w:rsidR="006F19DE" w:rsidRPr="006F19DE">
        <w:rPr>
          <w:noProof/>
        </w:rPr>
        <w:fldChar w:fldCharType="end"/>
      </w:r>
      <w:bookmarkEnd w:id="36"/>
      <w:r w:rsidRPr="006F19DE">
        <w:t>: Approved Alternate and Additional Deeming Rates</w:t>
      </w:r>
    </w:p>
    <w:tbl>
      <w:tblPr>
        <w:tblStyle w:val="TableGrid"/>
        <w:tblW w:w="0" w:type="auto"/>
        <w:tblLook w:val="04A0" w:firstRow="1" w:lastRow="0" w:firstColumn="1" w:lastColumn="0" w:noHBand="0" w:noVBand="1"/>
      </w:tblPr>
      <w:tblGrid>
        <w:gridCol w:w="2830"/>
        <w:gridCol w:w="2139"/>
        <w:gridCol w:w="2034"/>
        <w:gridCol w:w="2013"/>
      </w:tblGrid>
      <w:tr w:rsidR="00F37F7C" w:rsidRPr="00CC4781" w14:paraId="05CEF79C" w14:textId="77777777" w:rsidTr="00FF1BD0">
        <w:trPr>
          <w:trHeight w:val="182"/>
          <w:tblHeader/>
        </w:trPr>
        <w:tc>
          <w:tcPr>
            <w:tcW w:w="2830" w:type="dxa"/>
            <w:vMerge w:val="restart"/>
            <w:shd w:val="clear" w:color="auto" w:fill="BFBFBF" w:themeFill="background1" w:themeFillShade="BF"/>
          </w:tcPr>
          <w:p w14:paraId="2349233C" w14:textId="77777777" w:rsidR="00F37F7C" w:rsidRPr="00CC4781" w:rsidRDefault="00F37F7C" w:rsidP="00F50FF9">
            <w:pPr>
              <w:pStyle w:val="Table8ptHeading-ASDEFCON"/>
            </w:pPr>
            <w:r w:rsidRPr="00CC4781">
              <w:t xml:space="preserve">Nature of </w:t>
            </w:r>
            <w:r>
              <w:t xml:space="preserve">cost category / </w:t>
            </w:r>
            <w:r w:rsidRPr="00CC4781">
              <w:t>Subcontractor work</w:t>
            </w:r>
          </w:p>
          <w:p w14:paraId="47D97AEE" w14:textId="77777777" w:rsidR="00F37F7C" w:rsidRPr="00CC4781" w:rsidRDefault="00F37F7C" w:rsidP="00F50FF9">
            <w:pPr>
              <w:pStyle w:val="Table8ptHeading-ASDEFCON"/>
            </w:pPr>
          </w:p>
        </w:tc>
        <w:tc>
          <w:tcPr>
            <w:tcW w:w="2139" w:type="dxa"/>
            <w:vMerge w:val="restart"/>
            <w:shd w:val="clear" w:color="auto" w:fill="BFBFBF" w:themeFill="background1" w:themeFillShade="BF"/>
          </w:tcPr>
          <w:p w14:paraId="7D4DD6E5" w14:textId="77777777" w:rsidR="00F37F7C" w:rsidRPr="00CC4781" w:rsidRDefault="00F37F7C" w:rsidP="00F50FF9">
            <w:pPr>
              <w:pStyle w:val="Table8ptHeading-ASDEFCON"/>
            </w:pPr>
            <w:r>
              <w:t>Applicable Threshold (GST exclusive)</w:t>
            </w:r>
          </w:p>
        </w:tc>
        <w:tc>
          <w:tcPr>
            <w:tcW w:w="4047" w:type="dxa"/>
            <w:gridSpan w:val="2"/>
            <w:shd w:val="clear" w:color="auto" w:fill="BFBFBF" w:themeFill="background1" w:themeFillShade="BF"/>
          </w:tcPr>
          <w:p w14:paraId="2E3A189C" w14:textId="77777777" w:rsidR="00F37F7C" w:rsidRPr="00CC4781" w:rsidRDefault="00F37F7C" w:rsidP="00F50FF9">
            <w:pPr>
              <w:pStyle w:val="Table8ptHeading-ASDEFCON"/>
            </w:pPr>
            <w:r w:rsidRPr="00CC4781">
              <w:t xml:space="preserve">Deemed Australian Contract Expenditure and Imported </w:t>
            </w:r>
            <w:r w:rsidRPr="00517D77">
              <w:t>Contract Expenditure</w:t>
            </w:r>
          </w:p>
        </w:tc>
      </w:tr>
      <w:tr w:rsidR="00F37F7C" w:rsidRPr="00CC4781" w14:paraId="7987BBAE" w14:textId="77777777" w:rsidTr="00FF1BD0">
        <w:trPr>
          <w:trHeight w:val="182"/>
          <w:tblHeader/>
        </w:trPr>
        <w:tc>
          <w:tcPr>
            <w:tcW w:w="2830" w:type="dxa"/>
            <w:vMerge/>
            <w:shd w:val="clear" w:color="auto" w:fill="BFBFBF" w:themeFill="background1" w:themeFillShade="BF"/>
          </w:tcPr>
          <w:p w14:paraId="6FFDD477" w14:textId="77777777" w:rsidR="00F37F7C" w:rsidRPr="00CC4781" w:rsidRDefault="00F37F7C" w:rsidP="00F50FF9">
            <w:pPr>
              <w:pStyle w:val="Table8ptHeading-ASDEFCON"/>
            </w:pPr>
          </w:p>
        </w:tc>
        <w:tc>
          <w:tcPr>
            <w:tcW w:w="2139" w:type="dxa"/>
            <w:vMerge/>
            <w:shd w:val="clear" w:color="auto" w:fill="BFBFBF" w:themeFill="background1" w:themeFillShade="BF"/>
          </w:tcPr>
          <w:p w14:paraId="77CCCD4B" w14:textId="77777777" w:rsidR="00F37F7C" w:rsidRPr="00CC4781" w:rsidRDefault="00F37F7C" w:rsidP="00F50FF9">
            <w:pPr>
              <w:pStyle w:val="Table8ptHeading-ASDEFCON"/>
            </w:pPr>
          </w:p>
        </w:tc>
        <w:tc>
          <w:tcPr>
            <w:tcW w:w="2034" w:type="dxa"/>
            <w:shd w:val="clear" w:color="auto" w:fill="BFBFBF" w:themeFill="background1" w:themeFillShade="BF"/>
          </w:tcPr>
          <w:p w14:paraId="06EC9E07" w14:textId="77777777" w:rsidR="00F37F7C" w:rsidRPr="00CC4781" w:rsidRDefault="00F37F7C" w:rsidP="00F50FF9">
            <w:pPr>
              <w:pStyle w:val="Table8ptHeading-ASDEFCON"/>
            </w:pPr>
            <w:r w:rsidRPr="00CC4781">
              <w:t>Australian Contract Expenditure</w:t>
            </w:r>
          </w:p>
        </w:tc>
        <w:tc>
          <w:tcPr>
            <w:tcW w:w="2013" w:type="dxa"/>
            <w:shd w:val="clear" w:color="auto" w:fill="BFBFBF" w:themeFill="background1" w:themeFillShade="BF"/>
          </w:tcPr>
          <w:p w14:paraId="3E7715AF" w14:textId="77777777" w:rsidR="00F37F7C" w:rsidRPr="00CC4781" w:rsidRDefault="00F37F7C" w:rsidP="00F50FF9">
            <w:pPr>
              <w:pStyle w:val="Table8ptHeading-ASDEFCON"/>
            </w:pPr>
            <w:r w:rsidRPr="00CC4781">
              <w:t xml:space="preserve">Imported </w:t>
            </w:r>
            <w:r w:rsidRPr="00517D77">
              <w:t>Contract Expenditure</w:t>
            </w:r>
          </w:p>
        </w:tc>
      </w:tr>
      <w:tr w:rsidR="00F37F7C" w:rsidRPr="00CC4781" w14:paraId="04937D45" w14:textId="77777777" w:rsidTr="00FF1BD0">
        <w:tc>
          <w:tcPr>
            <w:tcW w:w="2830" w:type="dxa"/>
            <w:shd w:val="clear" w:color="auto" w:fill="auto"/>
          </w:tcPr>
          <w:p w14:paraId="6737EBA2" w14:textId="77777777" w:rsidR="00F37F7C" w:rsidRPr="00CC4781" w:rsidRDefault="00F37F7C" w:rsidP="00F50FF9">
            <w:pPr>
              <w:pStyle w:val="Table8ptText-ASDEFCON"/>
            </w:pPr>
            <w:r>
              <w:fldChar w:fldCharType="begin">
                <w:ffData>
                  <w:name w:val=""/>
                  <w:enabled/>
                  <w:calcOnExit w:val="0"/>
                  <w:textInput>
                    <w:default w:val="(…INSERT description...)"/>
                  </w:textInput>
                </w:ffData>
              </w:fldChar>
            </w:r>
            <w:r>
              <w:instrText xml:space="preserve"> FORMTEXT </w:instrText>
            </w:r>
            <w:r>
              <w:fldChar w:fldCharType="separate"/>
            </w:r>
            <w:r>
              <w:rPr>
                <w:noProof/>
              </w:rPr>
              <w:t>(…INSERT description...)</w:t>
            </w:r>
            <w:r>
              <w:fldChar w:fldCharType="end"/>
            </w:r>
          </w:p>
        </w:tc>
        <w:tc>
          <w:tcPr>
            <w:tcW w:w="2139" w:type="dxa"/>
          </w:tcPr>
          <w:p w14:paraId="67579591" w14:textId="77777777" w:rsidR="00F37F7C" w:rsidRDefault="00F37F7C" w:rsidP="00F50FF9">
            <w:pPr>
              <w:pStyle w:val="Table8ptText-ASDEFCON"/>
            </w:pPr>
            <w:r>
              <w:fldChar w:fldCharType="begin">
                <w:ffData>
                  <w:name w:val="Text10"/>
                  <w:enabled/>
                  <w:calcOnExit w:val="0"/>
                  <w:textInput>
                    <w:default w:val="(…INSERT threshold value...)"/>
                  </w:textInput>
                </w:ffData>
              </w:fldChar>
            </w:r>
            <w:r>
              <w:instrText xml:space="preserve"> FORMTEXT </w:instrText>
            </w:r>
            <w:r>
              <w:fldChar w:fldCharType="separate"/>
            </w:r>
            <w:r>
              <w:rPr>
                <w:noProof/>
              </w:rPr>
              <w:t>(…INSERT threshold value...)</w:t>
            </w:r>
            <w:r>
              <w:fldChar w:fldCharType="end"/>
            </w:r>
          </w:p>
        </w:tc>
        <w:tc>
          <w:tcPr>
            <w:tcW w:w="2034" w:type="dxa"/>
            <w:shd w:val="clear" w:color="auto" w:fill="auto"/>
          </w:tcPr>
          <w:p w14:paraId="2611D536" w14:textId="77777777" w:rsidR="00F37F7C" w:rsidRPr="00CC4781" w:rsidRDefault="00F37F7C" w:rsidP="00F50FF9">
            <w:pPr>
              <w:pStyle w:val="Table8ptText-ASDEFCON"/>
            </w:pPr>
            <w:r>
              <w:fldChar w:fldCharType="begin">
                <w:ffData>
                  <w:name w:val="Text10"/>
                  <w:enabled/>
                  <w:calcOnExit w:val="0"/>
                  <w:textInput>
                    <w:default w:val="(…INSERT %...)"/>
                  </w:textInput>
                </w:ffData>
              </w:fldChar>
            </w:r>
            <w:r>
              <w:instrText xml:space="preserve"> FORMTEXT </w:instrText>
            </w:r>
            <w:r>
              <w:fldChar w:fldCharType="separate"/>
            </w:r>
            <w:r>
              <w:rPr>
                <w:noProof/>
              </w:rPr>
              <w:t>(…INSERT %...)</w:t>
            </w:r>
            <w:r>
              <w:fldChar w:fldCharType="end"/>
            </w:r>
          </w:p>
        </w:tc>
        <w:tc>
          <w:tcPr>
            <w:tcW w:w="2013" w:type="dxa"/>
            <w:shd w:val="clear" w:color="auto" w:fill="auto"/>
          </w:tcPr>
          <w:p w14:paraId="152D43EC" w14:textId="77777777" w:rsidR="00F37F7C" w:rsidRPr="00CC4781" w:rsidRDefault="00F37F7C" w:rsidP="00F50FF9">
            <w:pPr>
              <w:pStyle w:val="Table8ptText-ASDEFCON"/>
            </w:pPr>
            <w:r>
              <w:fldChar w:fldCharType="begin">
                <w:ffData>
                  <w:name w:val="Text10"/>
                  <w:enabled/>
                  <w:calcOnExit w:val="0"/>
                  <w:textInput>
                    <w:default w:val="(…INSERT %...)"/>
                  </w:textInput>
                </w:ffData>
              </w:fldChar>
            </w:r>
            <w:r>
              <w:instrText xml:space="preserve"> FORMTEXT </w:instrText>
            </w:r>
            <w:r>
              <w:fldChar w:fldCharType="separate"/>
            </w:r>
            <w:r>
              <w:rPr>
                <w:noProof/>
              </w:rPr>
              <w:t>(…INSERT %...)</w:t>
            </w:r>
            <w:r>
              <w:fldChar w:fldCharType="end"/>
            </w:r>
          </w:p>
        </w:tc>
      </w:tr>
      <w:tr w:rsidR="00F37F7C" w:rsidRPr="00CC4781" w14:paraId="5D4E87B5" w14:textId="77777777" w:rsidTr="00FF1BD0">
        <w:tc>
          <w:tcPr>
            <w:tcW w:w="2830" w:type="dxa"/>
            <w:shd w:val="clear" w:color="auto" w:fill="auto"/>
          </w:tcPr>
          <w:p w14:paraId="29396CF3" w14:textId="77777777" w:rsidR="00F37F7C" w:rsidRPr="00CC4781" w:rsidRDefault="00F37F7C" w:rsidP="00F50FF9">
            <w:pPr>
              <w:pStyle w:val="Table8ptText-ASDEFCON"/>
            </w:pPr>
            <w:r>
              <w:fldChar w:fldCharType="begin">
                <w:ffData>
                  <w:name w:val=""/>
                  <w:enabled/>
                  <w:calcOnExit w:val="0"/>
                  <w:textInput>
                    <w:default w:val="(…INSERT description...)"/>
                  </w:textInput>
                </w:ffData>
              </w:fldChar>
            </w:r>
            <w:r>
              <w:instrText xml:space="preserve"> FORMTEXT </w:instrText>
            </w:r>
            <w:r>
              <w:fldChar w:fldCharType="separate"/>
            </w:r>
            <w:r>
              <w:rPr>
                <w:noProof/>
              </w:rPr>
              <w:t>(…INSERT description...)</w:t>
            </w:r>
            <w:r>
              <w:fldChar w:fldCharType="end"/>
            </w:r>
          </w:p>
        </w:tc>
        <w:tc>
          <w:tcPr>
            <w:tcW w:w="2139" w:type="dxa"/>
          </w:tcPr>
          <w:p w14:paraId="1B15788D" w14:textId="77777777" w:rsidR="00F37F7C" w:rsidRDefault="00F37F7C" w:rsidP="00F50FF9">
            <w:pPr>
              <w:pStyle w:val="Table8ptText-ASDEFCON"/>
            </w:pPr>
            <w:r>
              <w:fldChar w:fldCharType="begin">
                <w:ffData>
                  <w:name w:val=""/>
                  <w:enabled/>
                  <w:calcOnExit w:val="0"/>
                  <w:textInput>
                    <w:default w:val="(…INSERT threshold value...)"/>
                  </w:textInput>
                </w:ffData>
              </w:fldChar>
            </w:r>
            <w:r>
              <w:instrText xml:space="preserve"> FORMTEXT </w:instrText>
            </w:r>
            <w:r>
              <w:fldChar w:fldCharType="separate"/>
            </w:r>
            <w:r>
              <w:rPr>
                <w:noProof/>
              </w:rPr>
              <w:t>(…INSERT threshold value...)</w:t>
            </w:r>
            <w:r>
              <w:fldChar w:fldCharType="end"/>
            </w:r>
          </w:p>
        </w:tc>
        <w:tc>
          <w:tcPr>
            <w:tcW w:w="2034" w:type="dxa"/>
            <w:shd w:val="clear" w:color="auto" w:fill="auto"/>
          </w:tcPr>
          <w:p w14:paraId="21BE7DA2" w14:textId="77777777" w:rsidR="00F37F7C" w:rsidRPr="00CC4781" w:rsidRDefault="00F37F7C" w:rsidP="00F50FF9">
            <w:pPr>
              <w:pStyle w:val="Table8ptText-ASDEFCON"/>
            </w:pPr>
            <w:r>
              <w:fldChar w:fldCharType="begin">
                <w:ffData>
                  <w:name w:val="Text10"/>
                  <w:enabled/>
                  <w:calcOnExit w:val="0"/>
                  <w:textInput>
                    <w:default w:val="(…INSERT %...)"/>
                  </w:textInput>
                </w:ffData>
              </w:fldChar>
            </w:r>
            <w:r>
              <w:instrText xml:space="preserve"> FORMTEXT </w:instrText>
            </w:r>
            <w:r>
              <w:fldChar w:fldCharType="separate"/>
            </w:r>
            <w:r>
              <w:rPr>
                <w:noProof/>
              </w:rPr>
              <w:t>(…INSERT %...)</w:t>
            </w:r>
            <w:r>
              <w:fldChar w:fldCharType="end"/>
            </w:r>
          </w:p>
        </w:tc>
        <w:tc>
          <w:tcPr>
            <w:tcW w:w="2013" w:type="dxa"/>
            <w:shd w:val="clear" w:color="auto" w:fill="auto"/>
          </w:tcPr>
          <w:p w14:paraId="23E68379" w14:textId="77777777" w:rsidR="00F37F7C" w:rsidRPr="00CC4781" w:rsidRDefault="00F37F7C" w:rsidP="00F50FF9">
            <w:pPr>
              <w:pStyle w:val="Table8ptText-ASDEFCON"/>
            </w:pPr>
            <w:r>
              <w:fldChar w:fldCharType="begin">
                <w:ffData>
                  <w:name w:val="Text10"/>
                  <w:enabled/>
                  <w:calcOnExit w:val="0"/>
                  <w:textInput>
                    <w:default w:val="(…INSERT %...)"/>
                  </w:textInput>
                </w:ffData>
              </w:fldChar>
            </w:r>
            <w:r>
              <w:instrText xml:space="preserve"> FORMTEXT </w:instrText>
            </w:r>
            <w:r>
              <w:fldChar w:fldCharType="separate"/>
            </w:r>
            <w:r>
              <w:rPr>
                <w:noProof/>
              </w:rPr>
              <w:t>(…INSERT %...)</w:t>
            </w:r>
            <w:r>
              <w:fldChar w:fldCharType="end"/>
            </w:r>
          </w:p>
        </w:tc>
      </w:tr>
    </w:tbl>
    <w:p w14:paraId="28B900EC" w14:textId="77777777" w:rsidR="00F37F7C" w:rsidRDefault="00F37F7C" w:rsidP="00F37F7C">
      <w:pPr>
        <w:pStyle w:val="ASDEFCONOptionSpace"/>
      </w:pPr>
    </w:p>
    <w:p w14:paraId="5C65333A" w14:textId="148A79B2" w:rsidR="00F37F7C" w:rsidRDefault="00684E84" w:rsidP="00F37F7C">
      <w:pPr>
        <w:pStyle w:val="NoteToTenderers-ASDEFCON"/>
      </w:pPr>
      <w:r>
        <w:t xml:space="preserve">Note to tenderers:  </w:t>
      </w:r>
      <w:r w:rsidR="00F37F7C" w:rsidRPr="00570650">
        <w:t>Paragraph</w:t>
      </w:r>
      <w:r w:rsidR="00F37F7C">
        <w:t xml:space="preserve"> 4 of the ACE Measurement Rules allows for indirect costs to be deemed for Contractors and specific Subcontractors at different </w:t>
      </w:r>
      <w:r w:rsidR="00F37F7C" w:rsidRPr="00570650">
        <w:t>ACE and ICE percentages</w:t>
      </w:r>
      <w:r w:rsidR="00F37F7C">
        <w:t xml:space="preserve"> to those listed in the ACE Measurement Rules.  If the tenderer proposes to use any such alternate deeming rates for indirect costs</w:t>
      </w:r>
      <w:r w:rsidR="00124CB2">
        <w:t xml:space="preserve"> </w:t>
      </w:r>
      <w:r>
        <w:t>with</w:t>
      </w:r>
      <w:r w:rsidR="00124CB2">
        <w:t xml:space="preserve">in the </w:t>
      </w:r>
      <w:r w:rsidR="001D7892">
        <w:t>tendered pricing information</w:t>
      </w:r>
      <w:r w:rsidR="00F37F7C">
        <w:t xml:space="preserve">, </w:t>
      </w:r>
      <w:r w:rsidR="001D7892">
        <w:t xml:space="preserve">these need to </w:t>
      </w:r>
      <w:r w:rsidR="00124CB2">
        <w:t xml:space="preserve">have been confirmed by FIS </w:t>
      </w:r>
      <w:r w:rsidR="001D7892">
        <w:t>and</w:t>
      </w:r>
      <w:r w:rsidR="00F37F7C">
        <w:t xml:space="preserve"> included below</w:t>
      </w:r>
      <w:r w:rsidR="00C03174">
        <w:t xml:space="preserve">.  </w:t>
      </w:r>
      <w:r w:rsidR="00124CB2">
        <w:t>A</w:t>
      </w:r>
      <w:r w:rsidR="00C03174">
        <w:t>ny proposals</w:t>
      </w:r>
      <w:r w:rsidR="00F37F7C">
        <w:t xml:space="preserve"> for new deeming </w:t>
      </w:r>
      <w:r w:rsidR="00C03174">
        <w:t xml:space="preserve">rates </w:t>
      </w:r>
      <w:r w:rsidR="00F37F7C">
        <w:t>will only be considered during contract negotiations with the preferred tenderer(s)</w:t>
      </w:r>
      <w:r w:rsidR="001D7892">
        <w:t xml:space="preserve"> and may be included in any resultant Contract at clause </w:t>
      </w:r>
      <w:r w:rsidR="0007560D">
        <w:t>8</w:t>
      </w:r>
      <w:r w:rsidR="001D7892">
        <w:t>.2 of Attachment B</w:t>
      </w:r>
      <w:r w:rsidR="00F37F7C">
        <w:t>.</w:t>
      </w:r>
    </w:p>
    <w:p w14:paraId="316B1B94" w14:textId="2B100150" w:rsidR="00F37F7C" w:rsidRDefault="00F37F7C" w:rsidP="00F37F7C">
      <w:pPr>
        <w:pStyle w:val="ATTANNLV2-ASDEFCON"/>
      </w:pPr>
      <w:r>
        <w:t>Where alternate deeming rates for indirect costs (including overhead and general and administrative costs)</w:t>
      </w:r>
      <w:r w:rsidRPr="00F55C52">
        <w:t xml:space="preserve"> </w:t>
      </w:r>
      <w:r>
        <w:t>have</w:t>
      </w:r>
      <w:r w:rsidRPr="00245AAB">
        <w:t xml:space="preserve"> </w:t>
      </w:r>
      <w:r>
        <w:t>been confirmed by Defence’s Financial Investigation Services (FIS)</w:t>
      </w:r>
      <w:r w:rsidRPr="00913B25">
        <w:t xml:space="preserve"> </w:t>
      </w:r>
      <w:r>
        <w:t xml:space="preserve">team, and the tenderer has used these in calculating ACE and ICE for the tenderer and/or proposed Approved Subcontractors within the proposed pricing, the rates and date of confirmation are to be identified in accordance with the format in </w:t>
      </w:r>
      <w:r>
        <w:fldChar w:fldCharType="begin"/>
      </w:r>
      <w:r>
        <w:instrText xml:space="preserve"> REF _Ref77323405 \h </w:instrText>
      </w:r>
      <w:r>
        <w:fldChar w:fldCharType="separate"/>
      </w:r>
      <w:r w:rsidR="00793ADB">
        <w:t>Table D-</w:t>
      </w:r>
      <w:r w:rsidR="00793ADB">
        <w:rPr>
          <w:noProof/>
        </w:rPr>
        <w:t>3</w:t>
      </w:r>
      <w:r>
        <w:fldChar w:fldCharType="end"/>
      </w:r>
      <w:r>
        <w:t>.</w:t>
      </w:r>
    </w:p>
    <w:p w14:paraId="750DB8A1" w14:textId="3905EFA3" w:rsidR="00F37F7C" w:rsidRPr="006F19DE" w:rsidRDefault="00F37F7C" w:rsidP="00F37F7C">
      <w:pPr>
        <w:pStyle w:val="Caption"/>
        <w:keepNext/>
      </w:pPr>
      <w:bookmarkStart w:id="37" w:name="_Ref77323405"/>
      <w:r w:rsidRPr="006F19DE">
        <w:t>Table D-</w:t>
      </w:r>
      <w:r w:rsidR="006F19DE" w:rsidRPr="006F19DE">
        <w:fldChar w:fldCharType="begin"/>
      </w:r>
      <w:r w:rsidR="006F19DE" w:rsidRPr="006F19DE">
        <w:instrText xml:space="preserve"> SEQ Table \* ARABIC </w:instrText>
      </w:r>
      <w:r w:rsidR="006F19DE" w:rsidRPr="006F19DE">
        <w:fldChar w:fldCharType="separate"/>
      </w:r>
      <w:r w:rsidR="00793ADB" w:rsidRPr="006F19DE">
        <w:rPr>
          <w:noProof/>
        </w:rPr>
        <w:t>3</w:t>
      </w:r>
      <w:r w:rsidR="006F19DE" w:rsidRPr="006F19DE">
        <w:rPr>
          <w:noProof/>
        </w:rPr>
        <w:fldChar w:fldCharType="end"/>
      </w:r>
      <w:bookmarkEnd w:id="37"/>
      <w:r w:rsidRPr="006F19DE">
        <w:t>: Deeming Rates for Indirect Costs</w:t>
      </w:r>
    </w:p>
    <w:tbl>
      <w:tblPr>
        <w:tblStyle w:val="TableGrid"/>
        <w:tblpPr w:leftFromText="180" w:rightFromText="180" w:vertAnchor="text" w:horzAnchor="margin" w:tblpXSpec="center" w:tblpY="-60"/>
        <w:tblW w:w="9072" w:type="dxa"/>
        <w:tblLayout w:type="fixed"/>
        <w:tblLook w:val="04A0" w:firstRow="1" w:lastRow="0" w:firstColumn="1" w:lastColumn="0" w:noHBand="0" w:noVBand="1"/>
      </w:tblPr>
      <w:tblGrid>
        <w:gridCol w:w="4111"/>
        <w:gridCol w:w="1701"/>
        <w:gridCol w:w="1701"/>
        <w:gridCol w:w="1559"/>
      </w:tblGrid>
      <w:tr w:rsidR="00F37F7C" w14:paraId="03EF8C69" w14:textId="77777777" w:rsidTr="00F50FF9">
        <w:tc>
          <w:tcPr>
            <w:tcW w:w="4111" w:type="dxa"/>
            <w:shd w:val="pct12" w:color="auto" w:fill="auto"/>
          </w:tcPr>
          <w:p w14:paraId="2A70FDB6" w14:textId="77777777" w:rsidR="00F37F7C" w:rsidRDefault="00F37F7C" w:rsidP="00F50FF9">
            <w:pPr>
              <w:pStyle w:val="Table8ptHeading-ASDEFCON"/>
            </w:pPr>
            <w:r>
              <w:t>Entity Name</w:t>
            </w:r>
          </w:p>
        </w:tc>
        <w:tc>
          <w:tcPr>
            <w:tcW w:w="1701" w:type="dxa"/>
            <w:shd w:val="pct12" w:color="auto" w:fill="auto"/>
          </w:tcPr>
          <w:p w14:paraId="4BC20775" w14:textId="77777777" w:rsidR="00F37F7C" w:rsidRDefault="00F37F7C" w:rsidP="00F50FF9">
            <w:pPr>
              <w:pStyle w:val="Table8ptHeading-ASDEFCON"/>
            </w:pPr>
            <w:r>
              <w:t>Deemed ACE percentage</w:t>
            </w:r>
          </w:p>
        </w:tc>
        <w:tc>
          <w:tcPr>
            <w:tcW w:w="1701" w:type="dxa"/>
            <w:shd w:val="pct12" w:color="auto" w:fill="auto"/>
          </w:tcPr>
          <w:p w14:paraId="6DA4F343" w14:textId="77777777" w:rsidR="00F37F7C" w:rsidRDefault="00F37F7C" w:rsidP="00F50FF9">
            <w:pPr>
              <w:pStyle w:val="Table8ptHeading-ASDEFCON"/>
            </w:pPr>
            <w:r>
              <w:t>Deemed ICE% percentage</w:t>
            </w:r>
          </w:p>
        </w:tc>
        <w:tc>
          <w:tcPr>
            <w:tcW w:w="1559" w:type="dxa"/>
            <w:shd w:val="pct12" w:color="auto" w:fill="auto"/>
          </w:tcPr>
          <w:p w14:paraId="6C15306C" w14:textId="77777777" w:rsidR="00F37F7C" w:rsidRDefault="00F37F7C" w:rsidP="00F50FF9">
            <w:pPr>
              <w:pStyle w:val="Table8ptHeading-ASDEFCON"/>
            </w:pPr>
            <w:r>
              <w:t xml:space="preserve">Date of  confirmation by FIS </w:t>
            </w:r>
          </w:p>
        </w:tc>
      </w:tr>
      <w:tr w:rsidR="00F37F7C" w14:paraId="7A9344F9" w14:textId="77777777" w:rsidTr="00FF1BD0">
        <w:tc>
          <w:tcPr>
            <w:tcW w:w="4111" w:type="dxa"/>
          </w:tcPr>
          <w:p w14:paraId="17EA3E49" w14:textId="77777777" w:rsidR="00F37F7C" w:rsidRDefault="00F37F7C" w:rsidP="00F50FF9">
            <w:pPr>
              <w:pStyle w:val="Table8ptText-ASDEFCON"/>
            </w:pPr>
            <w:r>
              <w:fldChar w:fldCharType="begin">
                <w:ffData>
                  <w:name w:val="Text12"/>
                  <w:enabled/>
                  <w:calcOnExit w:val="0"/>
                  <w:textInput>
                    <w:default w:val="(… INSERT CONTRACTOR NAME …)"/>
                  </w:textInput>
                </w:ffData>
              </w:fldChar>
            </w:r>
            <w:r>
              <w:instrText xml:space="preserve"> </w:instrText>
            </w:r>
            <w:bookmarkStart w:id="38" w:name="Text12"/>
            <w:r>
              <w:instrText xml:space="preserve">FORMTEXT </w:instrText>
            </w:r>
            <w:r>
              <w:fldChar w:fldCharType="separate"/>
            </w:r>
            <w:r>
              <w:rPr>
                <w:noProof/>
              </w:rPr>
              <w:t>(… INSERT CONTRACTOR NAME …)</w:t>
            </w:r>
            <w:r>
              <w:fldChar w:fldCharType="end"/>
            </w:r>
            <w:bookmarkEnd w:id="38"/>
          </w:p>
        </w:tc>
        <w:tc>
          <w:tcPr>
            <w:tcW w:w="1701" w:type="dxa"/>
          </w:tcPr>
          <w:p w14:paraId="10643B75" w14:textId="77777777" w:rsidR="00F37F7C" w:rsidRDefault="00F37F7C" w:rsidP="00F50FF9">
            <w:pPr>
              <w:pStyle w:val="Table8ptText-ASDEFCON"/>
            </w:pPr>
            <w:r w:rsidRPr="00FD3EEA">
              <w:fldChar w:fldCharType="begin">
                <w:ffData>
                  <w:name w:val="Text10"/>
                  <w:enabled/>
                  <w:calcOnExit w:val="0"/>
                  <w:textInput>
                    <w:default w:val="(…INSERT %...)"/>
                  </w:textInput>
                </w:ffData>
              </w:fldChar>
            </w:r>
            <w:r w:rsidRPr="00FD3EEA">
              <w:instrText xml:space="preserve"> FORMTEXT </w:instrText>
            </w:r>
            <w:r w:rsidRPr="00FD3EEA">
              <w:fldChar w:fldCharType="separate"/>
            </w:r>
            <w:r w:rsidRPr="00FD3EEA">
              <w:rPr>
                <w:noProof/>
              </w:rPr>
              <w:t>(…INSERT %...)</w:t>
            </w:r>
            <w:r w:rsidRPr="00FD3EEA">
              <w:fldChar w:fldCharType="end"/>
            </w:r>
          </w:p>
        </w:tc>
        <w:tc>
          <w:tcPr>
            <w:tcW w:w="1701" w:type="dxa"/>
          </w:tcPr>
          <w:p w14:paraId="7049AF2C" w14:textId="77777777" w:rsidR="00F37F7C" w:rsidRDefault="00F37F7C" w:rsidP="00F50FF9">
            <w:pPr>
              <w:pStyle w:val="Table8ptText-ASDEFCON"/>
            </w:pPr>
            <w:r w:rsidRPr="00FD3EEA">
              <w:fldChar w:fldCharType="begin">
                <w:ffData>
                  <w:name w:val="Text10"/>
                  <w:enabled/>
                  <w:calcOnExit w:val="0"/>
                  <w:textInput>
                    <w:default w:val="(…INSERT %...)"/>
                  </w:textInput>
                </w:ffData>
              </w:fldChar>
            </w:r>
            <w:r w:rsidRPr="00FD3EEA">
              <w:instrText xml:space="preserve"> FORMTEXT </w:instrText>
            </w:r>
            <w:r w:rsidRPr="00FD3EEA">
              <w:fldChar w:fldCharType="separate"/>
            </w:r>
            <w:r w:rsidRPr="00FD3EEA">
              <w:rPr>
                <w:noProof/>
              </w:rPr>
              <w:t>(…INSERT %...)</w:t>
            </w:r>
            <w:r w:rsidRPr="00FD3EEA">
              <w:fldChar w:fldCharType="end"/>
            </w:r>
          </w:p>
        </w:tc>
        <w:tc>
          <w:tcPr>
            <w:tcW w:w="1559" w:type="dxa"/>
          </w:tcPr>
          <w:p w14:paraId="55D2299D" w14:textId="77777777" w:rsidR="00F37F7C" w:rsidRPr="00FD3EEA" w:rsidRDefault="00F37F7C" w:rsidP="00F50FF9">
            <w:pPr>
              <w:pStyle w:val="Table8ptText-ASDEFCON"/>
            </w:pPr>
            <w:r>
              <w:fldChar w:fldCharType="begin">
                <w:ffData>
                  <w:name w:val="Text10"/>
                  <w:enabled/>
                  <w:calcOnExit w:val="0"/>
                  <w:textInput>
                    <w:default w:val="(…DATE...)"/>
                  </w:textInput>
                </w:ffData>
              </w:fldChar>
            </w:r>
            <w:bookmarkStart w:id="39" w:name="Text10"/>
            <w:r>
              <w:instrText xml:space="preserve"> FORMTEXT </w:instrText>
            </w:r>
            <w:r>
              <w:fldChar w:fldCharType="separate"/>
            </w:r>
            <w:r>
              <w:rPr>
                <w:noProof/>
              </w:rPr>
              <w:t>(…DATE...)</w:t>
            </w:r>
            <w:r>
              <w:fldChar w:fldCharType="end"/>
            </w:r>
            <w:bookmarkEnd w:id="39"/>
          </w:p>
        </w:tc>
      </w:tr>
      <w:tr w:rsidR="00F37F7C" w14:paraId="6D580CCC" w14:textId="77777777" w:rsidTr="00FF1BD0">
        <w:tc>
          <w:tcPr>
            <w:tcW w:w="4111" w:type="dxa"/>
          </w:tcPr>
          <w:p w14:paraId="7EC9F598" w14:textId="77777777" w:rsidR="00F37F7C" w:rsidRDefault="00F37F7C" w:rsidP="00F50FF9">
            <w:pPr>
              <w:pStyle w:val="Table8ptText-ASDEFCON"/>
            </w:pPr>
            <w:r>
              <w:fldChar w:fldCharType="begin">
                <w:ffData>
                  <w:name w:val="Text13"/>
                  <w:enabled/>
                  <w:calcOnExit w:val="0"/>
                  <w:textInput>
                    <w:default w:val="(… INSERT SUBCONTRACTOR NAME …)"/>
                  </w:textInput>
                </w:ffData>
              </w:fldChar>
            </w:r>
            <w:r>
              <w:instrText xml:space="preserve"> </w:instrText>
            </w:r>
            <w:bookmarkStart w:id="40" w:name="Text13"/>
            <w:r>
              <w:instrText xml:space="preserve">FORMTEXT </w:instrText>
            </w:r>
            <w:r>
              <w:fldChar w:fldCharType="separate"/>
            </w:r>
            <w:r>
              <w:rPr>
                <w:noProof/>
              </w:rPr>
              <w:t>(… INSERT SUBCONTRACTOR NAME …)</w:t>
            </w:r>
            <w:r>
              <w:fldChar w:fldCharType="end"/>
            </w:r>
            <w:bookmarkEnd w:id="40"/>
          </w:p>
        </w:tc>
        <w:tc>
          <w:tcPr>
            <w:tcW w:w="1701" w:type="dxa"/>
          </w:tcPr>
          <w:p w14:paraId="24DFD336" w14:textId="77777777" w:rsidR="00F37F7C" w:rsidRDefault="00F37F7C" w:rsidP="00F50FF9">
            <w:pPr>
              <w:pStyle w:val="Table8ptText-ASDEFCON"/>
            </w:pPr>
            <w:r w:rsidRPr="00FD3EEA">
              <w:fldChar w:fldCharType="begin">
                <w:ffData>
                  <w:name w:val="Text10"/>
                  <w:enabled/>
                  <w:calcOnExit w:val="0"/>
                  <w:textInput>
                    <w:default w:val="(…INSERT %...)"/>
                  </w:textInput>
                </w:ffData>
              </w:fldChar>
            </w:r>
            <w:r w:rsidRPr="00FD3EEA">
              <w:instrText xml:space="preserve"> FORMTEXT </w:instrText>
            </w:r>
            <w:r w:rsidRPr="00FD3EEA">
              <w:fldChar w:fldCharType="separate"/>
            </w:r>
            <w:r w:rsidRPr="00FD3EEA">
              <w:rPr>
                <w:noProof/>
              </w:rPr>
              <w:t>(…INSERT %...)</w:t>
            </w:r>
            <w:r w:rsidRPr="00FD3EEA">
              <w:fldChar w:fldCharType="end"/>
            </w:r>
          </w:p>
        </w:tc>
        <w:tc>
          <w:tcPr>
            <w:tcW w:w="1701" w:type="dxa"/>
          </w:tcPr>
          <w:p w14:paraId="39B6965C" w14:textId="77777777" w:rsidR="00F37F7C" w:rsidRDefault="00F37F7C" w:rsidP="00F50FF9">
            <w:pPr>
              <w:pStyle w:val="Table8ptText-ASDEFCON"/>
            </w:pPr>
            <w:r w:rsidRPr="00FD3EEA">
              <w:fldChar w:fldCharType="begin">
                <w:ffData>
                  <w:name w:val="Text10"/>
                  <w:enabled/>
                  <w:calcOnExit w:val="0"/>
                  <w:textInput>
                    <w:default w:val="(…INSERT %...)"/>
                  </w:textInput>
                </w:ffData>
              </w:fldChar>
            </w:r>
            <w:r w:rsidRPr="00FD3EEA">
              <w:instrText xml:space="preserve"> FORMTEXT </w:instrText>
            </w:r>
            <w:r w:rsidRPr="00FD3EEA">
              <w:fldChar w:fldCharType="separate"/>
            </w:r>
            <w:r w:rsidRPr="00FD3EEA">
              <w:rPr>
                <w:noProof/>
              </w:rPr>
              <w:t>(…INSERT %...)</w:t>
            </w:r>
            <w:r w:rsidRPr="00FD3EEA">
              <w:fldChar w:fldCharType="end"/>
            </w:r>
          </w:p>
        </w:tc>
        <w:tc>
          <w:tcPr>
            <w:tcW w:w="1559" w:type="dxa"/>
          </w:tcPr>
          <w:p w14:paraId="2CB315CC" w14:textId="77777777" w:rsidR="00F37F7C" w:rsidRPr="00FD3EEA" w:rsidRDefault="00F37F7C" w:rsidP="00F50FF9">
            <w:pPr>
              <w:pStyle w:val="Table8ptText-ASDEFCON"/>
            </w:pPr>
            <w:r>
              <w:fldChar w:fldCharType="begin">
                <w:ffData>
                  <w:name w:val="Text10"/>
                  <w:enabled/>
                  <w:calcOnExit w:val="0"/>
                  <w:textInput>
                    <w:default w:val="(…DATE...)"/>
                  </w:textInput>
                </w:ffData>
              </w:fldChar>
            </w:r>
            <w:r>
              <w:instrText xml:space="preserve"> FORMTEXT </w:instrText>
            </w:r>
            <w:r>
              <w:fldChar w:fldCharType="separate"/>
            </w:r>
            <w:r>
              <w:rPr>
                <w:noProof/>
              </w:rPr>
              <w:t>(…DATE...)</w:t>
            </w:r>
            <w:r>
              <w:fldChar w:fldCharType="end"/>
            </w:r>
          </w:p>
        </w:tc>
      </w:tr>
      <w:tr w:rsidR="00F37F7C" w14:paraId="30BFE028" w14:textId="77777777" w:rsidTr="00FF1BD0">
        <w:tc>
          <w:tcPr>
            <w:tcW w:w="4111" w:type="dxa"/>
          </w:tcPr>
          <w:p w14:paraId="65EFD835" w14:textId="77777777" w:rsidR="00F37F7C" w:rsidRDefault="00F37F7C" w:rsidP="00F50FF9">
            <w:pPr>
              <w:pStyle w:val="Table8ptText-ASDEFCON"/>
            </w:pPr>
          </w:p>
        </w:tc>
        <w:tc>
          <w:tcPr>
            <w:tcW w:w="1701" w:type="dxa"/>
          </w:tcPr>
          <w:p w14:paraId="3D464AE3" w14:textId="77777777" w:rsidR="00F37F7C" w:rsidRPr="00FD3EEA" w:rsidRDefault="00F37F7C" w:rsidP="00F50FF9">
            <w:pPr>
              <w:pStyle w:val="Table8ptText-ASDEFCON"/>
            </w:pPr>
          </w:p>
        </w:tc>
        <w:tc>
          <w:tcPr>
            <w:tcW w:w="1701" w:type="dxa"/>
          </w:tcPr>
          <w:p w14:paraId="4CB3B3F1" w14:textId="77777777" w:rsidR="00F37F7C" w:rsidRPr="00FD3EEA" w:rsidRDefault="00F37F7C" w:rsidP="00F50FF9">
            <w:pPr>
              <w:pStyle w:val="Table8ptText-ASDEFCON"/>
            </w:pPr>
          </w:p>
        </w:tc>
        <w:tc>
          <w:tcPr>
            <w:tcW w:w="1559" w:type="dxa"/>
          </w:tcPr>
          <w:p w14:paraId="250AF759" w14:textId="77777777" w:rsidR="00F37F7C" w:rsidRPr="00FD3EEA" w:rsidRDefault="00F37F7C" w:rsidP="00F50FF9">
            <w:pPr>
              <w:pStyle w:val="Table8ptText-ASDEFCON"/>
            </w:pPr>
          </w:p>
        </w:tc>
      </w:tr>
    </w:tbl>
    <w:p w14:paraId="4C073BAB" w14:textId="77777777" w:rsidR="00F37F7C" w:rsidRPr="008236D4" w:rsidRDefault="00F37F7C" w:rsidP="00F37F7C">
      <w:pPr>
        <w:pStyle w:val="ASDEFCONOptionSpace"/>
      </w:pPr>
    </w:p>
    <w:p w14:paraId="432FB72B" w14:textId="77777777" w:rsidR="00283DA9" w:rsidRPr="00EB0ED9" w:rsidRDefault="00283DA9" w:rsidP="0089648C">
      <w:pPr>
        <w:pStyle w:val="ASDEFCONNormal"/>
      </w:pPr>
    </w:p>
    <w:sectPr w:rsidR="00283DA9" w:rsidRPr="00EB0ED9" w:rsidSect="006979C1">
      <w:headerReference w:type="default" r:id="rId13"/>
      <w:footerReference w:type="default" r:id="rId14"/>
      <w:pgSz w:w="11907" w:h="16840" w:code="9"/>
      <w:pgMar w:top="1304" w:right="1418" w:bottom="907" w:left="1418" w:header="561" w:footer="283"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0FBDF2" w14:textId="77777777" w:rsidR="00820D83" w:rsidRDefault="00820D83">
      <w:r>
        <w:separator/>
      </w:r>
    </w:p>
  </w:endnote>
  <w:endnote w:type="continuationSeparator" w:id="0">
    <w:p w14:paraId="7EC670B2" w14:textId="77777777" w:rsidR="00820D83" w:rsidRDefault="00820D83">
      <w:r>
        <w:continuationSeparator/>
      </w:r>
    </w:p>
  </w:endnote>
  <w:endnote w:type="continuationNotice" w:id="1">
    <w:p w14:paraId="7704FDBD" w14:textId="77777777" w:rsidR="00820D83" w:rsidRDefault="00820D8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default"/>
  </w:font>
  <w:font w:name="Times">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old">
    <w:panose1 w:val="020B0704020202020204"/>
    <w:charset w:val="00"/>
    <w:family w:val="roman"/>
    <w:notTrueType/>
    <w:pitch w:val="default"/>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3E23FD" w14:textId="4E5A3F64" w:rsidR="0088382C" w:rsidRDefault="0088382C" w:rsidP="009338B9">
    <w:pPr>
      <w:pStyle w:val="ASDEFCONNormal"/>
      <w:tabs>
        <w:tab w:val="right" w:pos="9072"/>
      </w:tabs>
      <w:rPr>
        <w:rStyle w:val="PageNumber"/>
        <w:sz w:val="16"/>
        <w:szCs w:val="16"/>
      </w:rPr>
    </w:pPr>
    <w:r w:rsidRPr="006A0839">
      <w:rPr>
        <w:rStyle w:val="PageNumber"/>
        <w:sz w:val="16"/>
        <w:szCs w:val="16"/>
      </w:rPr>
      <w:fldChar w:fldCharType="begin"/>
    </w:r>
    <w:r w:rsidRPr="006A0839">
      <w:rPr>
        <w:rStyle w:val="PageNumber"/>
        <w:sz w:val="16"/>
        <w:szCs w:val="16"/>
      </w:rPr>
      <w:instrText xml:space="preserve"> SUBJECT   \* MERGEFORMAT </w:instrText>
    </w:r>
    <w:r w:rsidRPr="006A0839">
      <w:rPr>
        <w:rStyle w:val="PageNumber"/>
        <w:sz w:val="16"/>
        <w:szCs w:val="16"/>
      </w:rPr>
      <w:fldChar w:fldCharType="separate"/>
    </w:r>
    <w:r>
      <w:rPr>
        <w:rStyle w:val="PageNumber"/>
        <w:sz w:val="16"/>
        <w:szCs w:val="16"/>
      </w:rPr>
      <w:t>Annex to Conditions of Tender</w:t>
    </w:r>
    <w:r w:rsidRPr="006A0839">
      <w:rPr>
        <w:rStyle w:val="PageNumber"/>
        <w:sz w:val="16"/>
        <w:szCs w:val="16"/>
      </w:rPr>
      <w:fldChar w:fldCharType="end"/>
    </w:r>
    <w:r w:rsidRPr="006A0839">
      <w:rPr>
        <w:rStyle w:val="PageNumber"/>
        <w:sz w:val="16"/>
        <w:szCs w:val="16"/>
      </w:rPr>
      <w:t xml:space="preserve"> (</w:t>
    </w:r>
    <w:r w:rsidRPr="006A0839">
      <w:rPr>
        <w:rStyle w:val="PageNumber"/>
        <w:sz w:val="16"/>
        <w:szCs w:val="16"/>
      </w:rPr>
      <w:fldChar w:fldCharType="begin"/>
    </w:r>
    <w:r w:rsidRPr="006A0839">
      <w:rPr>
        <w:rStyle w:val="PageNumber"/>
        <w:sz w:val="16"/>
        <w:szCs w:val="16"/>
      </w:rPr>
      <w:instrText xml:space="preserve"> DOCPROPERTY Version </w:instrText>
    </w:r>
    <w:r w:rsidRPr="006A0839">
      <w:rPr>
        <w:rStyle w:val="PageNumber"/>
        <w:sz w:val="16"/>
        <w:szCs w:val="16"/>
      </w:rPr>
      <w:fldChar w:fldCharType="separate"/>
    </w:r>
    <w:r>
      <w:rPr>
        <w:rStyle w:val="PageNumber"/>
        <w:sz w:val="16"/>
        <w:szCs w:val="16"/>
      </w:rPr>
      <w:t>V5.0</w:t>
    </w:r>
    <w:r w:rsidRPr="006A0839">
      <w:rPr>
        <w:rStyle w:val="PageNumber"/>
        <w:sz w:val="16"/>
        <w:szCs w:val="16"/>
      </w:rPr>
      <w:fldChar w:fldCharType="end"/>
    </w:r>
    <w:r w:rsidRPr="006A0839">
      <w:rPr>
        <w:rStyle w:val="PageNumber"/>
        <w:sz w:val="16"/>
        <w:szCs w:val="16"/>
      </w:rPr>
      <w:t>)</w:t>
    </w:r>
    <w:r w:rsidRPr="006A0839">
      <w:rPr>
        <w:sz w:val="16"/>
        <w:szCs w:val="16"/>
      </w:rPr>
      <w:tab/>
      <w:t>A-D</w:t>
    </w:r>
    <w:r>
      <w:rPr>
        <w:sz w:val="16"/>
        <w:szCs w:val="16"/>
      </w:rPr>
      <w:t>-</w:t>
    </w:r>
    <w:r w:rsidRPr="006A0839">
      <w:rPr>
        <w:rStyle w:val="PageNumber"/>
        <w:sz w:val="16"/>
        <w:szCs w:val="16"/>
      </w:rPr>
      <w:fldChar w:fldCharType="begin"/>
    </w:r>
    <w:r w:rsidRPr="006A0839">
      <w:rPr>
        <w:rStyle w:val="PageNumber"/>
        <w:sz w:val="16"/>
        <w:szCs w:val="16"/>
      </w:rPr>
      <w:instrText xml:space="preserve"> PAGE </w:instrText>
    </w:r>
    <w:r w:rsidRPr="006A0839">
      <w:rPr>
        <w:rStyle w:val="PageNumber"/>
        <w:sz w:val="16"/>
        <w:szCs w:val="16"/>
      </w:rPr>
      <w:fldChar w:fldCharType="separate"/>
    </w:r>
    <w:r w:rsidR="006F19DE">
      <w:rPr>
        <w:rStyle w:val="PageNumber"/>
        <w:noProof/>
        <w:sz w:val="16"/>
        <w:szCs w:val="16"/>
      </w:rPr>
      <w:t>2</w:t>
    </w:r>
    <w:r w:rsidRPr="006A0839">
      <w:rPr>
        <w:rStyle w:val="PageNumber"/>
        <w:sz w:val="16"/>
        <w:szCs w:val="16"/>
      </w:rPr>
      <w:fldChar w:fldCharType="end"/>
    </w:r>
  </w:p>
  <w:p w14:paraId="3AF75BBB" w14:textId="4EA7DB66" w:rsidR="0088382C" w:rsidRPr="006979C1" w:rsidRDefault="0088382C" w:rsidP="009338B9">
    <w:pPr>
      <w:pStyle w:val="ASDEFCONNormal"/>
      <w:jc w:val="center"/>
      <w:rPr>
        <w:b/>
        <w:szCs w:val="20"/>
      </w:rPr>
    </w:pPr>
    <w:r w:rsidRPr="006979C1">
      <w:rPr>
        <w:rStyle w:val="PageNumber"/>
        <w:b/>
        <w:szCs w:val="20"/>
      </w:rPr>
      <w:fldChar w:fldCharType="begin"/>
    </w:r>
    <w:r w:rsidRPr="006979C1">
      <w:rPr>
        <w:rStyle w:val="PageNumber"/>
        <w:b/>
        <w:szCs w:val="20"/>
      </w:rPr>
      <w:instrText xml:space="preserve"> DOCPROPERTY Classification </w:instrText>
    </w:r>
    <w:r w:rsidRPr="006979C1">
      <w:rPr>
        <w:rStyle w:val="PageNumber"/>
        <w:b/>
        <w:szCs w:val="20"/>
      </w:rPr>
      <w:fldChar w:fldCharType="separate"/>
    </w:r>
    <w:r>
      <w:rPr>
        <w:rStyle w:val="PageNumber"/>
        <w:b/>
        <w:szCs w:val="20"/>
      </w:rPr>
      <w:t>OFFICIAL</w:t>
    </w:r>
    <w:r w:rsidRPr="006979C1">
      <w:rPr>
        <w:rStyle w:val="PageNumber"/>
        <w:b/>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762EAA" w14:textId="77777777" w:rsidR="00820D83" w:rsidRDefault="00820D83">
      <w:r>
        <w:separator/>
      </w:r>
    </w:p>
  </w:footnote>
  <w:footnote w:type="continuationSeparator" w:id="0">
    <w:p w14:paraId="207F30B0" w14:textId="77777777" w:rsidR="00820D83" w:rsidRDefault="00820D83">
      <w:r>
        <w:continuationSeparator/>
      </w:r>
    </w:p>
  </w:footnote>
  <w:footnote w:type="continuationNotice" w:id="1">
    <w:p w14:paraId="0227CBC2" w14:textId="77777777" w:rsidR="00820D83" w:rsidRDefault="00820D83">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9071"/>
    </w:tblGrid>
    <w:tr w:rsidR="0088382C" w14:paraId="6297435B" w14:textId="77777777" w:rsidTr="006979C1">
      <w:tc>
        <w:tcPr>
          <w:tcW w:w="5000" w:type="pct"/>
        </w:tcPr>
        <w:p w14:paraId="78DD7325" w14:textId="6433A122" w:rsidR="0088382C" w:rsidRPr="009338B9" w:rsidRDefault="0088382C" w:rsidP="009338B9">
          <w:pPr>
            <w:pStyle w:val="ASDEFCONNormal"/>
            <w:jc w:val="center"/>
            <w:rPr>
              <w:b/>
            </w:rPr>
          </w:pPr>
          <w:r w:rsidRPr="009338B9">
            <w:rPr>
              <w:b/>
            </w:rPr>
            <w:fldChar w:fldCharType="begin"/>
          </w:r>
          <w:r w:rsidRPr="009338B9">
            <w:rPr>
              <w:b/>
            </w:rPr>
            <w:instrText xml:space="preserve"> DOCPROPERTY Classification </w:instrText>
          </w:r>
          <w:r w:rsidRPr="009338B9">
            <w:rPr>
              <w:b/>
            </w:rPr>
            <w:fldChar w:fldCharType="separate"/>
          </w:r>
          <w:r>
            <w:rPr>
              <w:b/>
            </w:rPr>
            <w:t>OFFICIAL</w:t>
          </w:r>
          <w:r w:rsidRPr="009338B9">
            <w:rPr>
              <w:b/>
            </w:rPr>
            <w:fldChar w:fldCharType="end"/>
          </w:r>
        </w:p>
      </w:tc>
    </w:tr>
  </w:tbl>
  <w:p w14:paraId="5A5FDB68" w14:textId="1BF50311" w:rsidR="0088382C" w:rsidRPr="00090518" w:rsidRDefault="0088382C" w:rsidP="009338B9">
    <w:pPr>
      <w:pStyle w:val="ASDEFCONNormal"/>
      <w:tabs>
        <w:tab w:val="right" w:pos="9072"/>
      </w:tabs>
    </w:pPr>
    <w:r w:rsidRPr="00090518">
      <w:rPr>
        <w:sz w:val="16"/>
        <w:szCs w:val="16"/>
      </w:rPr>
      <w:fldChar w:fldCharType="begin"/>
    </w:r>
    <w:r w:rsidRPr="00090518">
      <w:rPr>
        <w:sz w:val="16"/>
        <w:szCs w:val="16"/>
      </w:rPr>
      <w:instrText xml:space="preserve"> TITLE   \* MERGEFORMAT </w:instrText>
    </w:r>
    <w:r w:rsidRPr="00090518">
      <w:rPr>
        <w:sz w:val="16"/>
        <w:szCs w:val="16"/>
      </w:rPr>
      <w:fldChar w:fldCharType="separate"/>
    </w:r>
    <w:r>
      <w:rPr>
        <w:sz w:val="16"/>
        <w:szCs w:val="16"/>
      </w:rPr>
      <w:t>ASDEFCON (Support)</w:t>
    </w:r>
    <w:r w:rsidRPr="00090518">
      <w:rPr>
        <w:sz w:val="16"/>
        <w:szCs w:val="16"/>
      </w:rPr>
      <w:fldChar w:fldCharType="end"/>
    </w:r>
    <w:r w:rsidRPr="00090518">
      <w:rPr>
        <w:sz w:val="16"/>
        <w:szCs w:val="16"/>
      </w:rPr>
      <w:tab/>
    </w:r>
    <w:r w:rsidRPr="00090518">
      <w:rPr>
        <w:sz w:val="16"/>
        <w:szCs w:val="16"/>
      </w:rPr>
      <w:fldChar w:fldCharType="begin"/>
    </w:r>
    <w:r w:rsidRPr="00090518">
      <w:rPr>
        <w:sz w:val="16"/>
        <w:szCs w:val="16"/>
      </w:rPr>
      <w:instrText xml:space="preserve"> DOCPROPERTY  Category  \* MERGEFORMAT </w:instrText>
    </w:r>
    <w:r w:rsidRPr="00090518">
      <w:rPr>
        <w:sz w:val="16"/>
        <w:szCs w:val="16"/>
      </w:rPr>
      <w:fldChar w:fldCharType="separate"/>
    </w:r>
    <w:r>
      <w:rPr>
        <w:sz w:val="16"/>
        <w:szCs w:val="16"/>
      </w:rPr>
      <w:t>PART 1</w:t>
    </w:r>
    <w:r w:rsidRPr="00090518">
      <w:rPr>
        <w:sz w:val="16"/>
        <w:szCs w:val="16"/>
      </w:rPr>
      <w:fldChar w:fldCharType="end"/>
    </w:r>
  </w:p>
  <w:p w14:paraId="2A710A16" w14:textId="77777777" w:rsidR="0088382C" w:rsidRDefault="0088382C" w:rsidP="00090518">
    <w:pPr>
      <w:pStyle w:val="ASDEFCONTitle"/>
      <w:rPr>
        <w:sz w:val="16"/>
      </w:rPr>
    </w:pPr>
    <w:r>
      <w:t>ANNEX D TO ATTACHMENT 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18FA5AF9"/>
    <w:multiLevelType w:val="multilevel"/>
    <w:tmpl w:val="C396CA52"/>
    <w:lvl w:ilvl="0">
      <w:start w:val="1"/>
      <w:numFmt w:val="decimal"/>
      <w:lvlText w:val="%1."/>
      <w:lvlJc w:val="left"/>
      <w:pPr>
        <w:tabs>
          <w:tab w:val="num" w:pos="907"/>
        </w:tabs>
        <w:ind w:left="907" w:hanging="907"/>
      </w:pPr>
      <w:rPr>
        <w:rFonts w:ascii="Arial" w:hAnsi="Arial" w:hint="default"/>
        <w:b/>
        <w:i w:val="0"/>
        <w:sz w:val="20"/>
      </w:rPr>
    </w:lvl>
    <w:lvl w:ilvl="1">
      <w:start w:val="1"/>
      <w:numFmt w:val="decimal"/>
      <w:pStyle w:val="TextLevel2"/>
      <w:lvlText w:val="%1.%2"/>
      <w:lvlJc w:val="left"/>
      <w:pPr>
        <w:tabs>
          <w:tab w:val="num" w:pos="907"/>
        </w:tabs>
        <w:ind w:left="907" w:hanging="907"/>
      </w:pPr>
      <w:rPr>
        <w:rFonts w:ascii="Arial" w:hAnsi="Arial" w:hint="default"/>
        <w:sz w:val="20"/>
      </w:rPr>
    </w:lvl>
    <w:lvl w:ilvl="2">
      <w:start w:val="1"/>
      <w:numFmt w:val="decimal"/>
      <w:lvlText w:val="%1.%2."/>
      <w:lvlJc w:val="left"/>
      <w:pPr>
        <w:tabs>
          <w:tab w:val="num" w:pos="1440"/>
        </w:tabs>
        <w:ind w:left="1440" w:hanging="144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440" w:hanging="1440"/>
      </w:pPr>
      <w:rPr>
        <w:rFonts w:hint="default"/>
      </w:rPr>
    </w:lvl>
    <w:lvl w:ilvl="6">
      <w:start w:val="1"/>
      <w:numFmt w:val="decimal"/>
      <w:lvlText w:val="%1.%2.%3.%4.%5.%6.%7"/>
      <w:lvlJc w:val="left"/>
      <w:pPr>
        <w:tabs>
          <w:tab w:val="num" w:pos="2160"/>
        </w:tabs>
        <w:ind w:left="1440" w:hanging="1440"/>
      </w:pPr>
      <w:rPr>
        <w:rFonts w:hint="default"/>
      </w:rPr>
    </w:lvl>
    <w:lvl w:ilvl="7">
      <w:start w:val="1"/>
      <w:numFmt w:val="decimal"/>
      <w:lvlText w:val="%1.%2.%3.%4.%5.%6.%7.%8"/>
      <w:lvlJc w:val="left"/>
      <w:pPr>
        <w:tabs>
          <w:tab w:val="num" w:pos="2520"/>
        </w:tabs>
        <w:ind w:left="1440" w:hanging="1440"/>
      </w:pPr>
      <w:rPr>
        <w:rFonts w:hint="default"/>
      </w:rPr>
    </w:lvl>
    <w:lvl w:ilvl="8">
      <w:start w:val="1"/>
      <w:numFmt w:val="decimal"/>
      <w:lvlText w:val="%1.%2.%3.%4.%5.%6.%7.%8.%9"/>
      <w:lvlJc w:val="left"/>
      <w:pPr>
        <w:tabs>
          <w:tab w:val="num" w:pos="2880"/>
        </w:tabs>
        <w:ind w:left="1440" w:hanging="1440"/>
      </w:pPr>
      <w:rPr>
        <w:rFonts w:hint="default"/>
      </w:rPr>
    </w:lvl>
  </w:abstractNum>
  <w:abstractNum w:abstractNumId="4"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1E346273"/>
    <w:multiLevelType w:val="singleLevel"/>
    <w:tmpl w:val="06C27B08"/>
    <w:lvl w:ilvl="0">
      <w:start w:val="1"/>
      <w:numFmt w:val="lowerLetter"/>
      <w:pStyle w:val="appendixno"/>
      <w:lvlText w:val="%1."/>
      <w:lvlJc w:val="left"/>
      <w:pPr>
        <w:tabs>
          <w:tab w:val="num" w:pos="907"/>
        </w:tabs>
        <w:ind w:left="907" w:hanging="907"/>
      </w:pPr>
      <w:rPr>
        <w:rFonts w:hint="default"/>
        <w:lang w:val="en-US"/>
      </w:rPr>
    </w:lvl>
  </w:abstractNum>
  <w:abstractNum w:abstractNumId="6"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8" w15:restartNumberingAfterBreak="0">
    <w:nsid w:val="241C75FA"/>
    <w:multiLevelType w:val="multilevel"/>
    <w:tmpl w:val="7CCAC9CA"/>
    <w:lvl w:ilvl="0">
      <w:start w:val="1"/>
      <w:numFmt w:val="decimal"/>
      <w:lvlText w:val="%1."/>
      <w:lvlJc w:val="left"/>
      <w:pPr>
        <w:tabs>
          <w:tab w:val="num" w:pos="432"/>
        </w:tabs>
        <w:ind w:left="432" w:hanging="432"/>
      </w:pPr>
      <w:rPr>
        <w:rFonts w:ascii="Arial" w:hAnsi="Arial" w:hint="default"/>
        <w:b/>
        <w:i w:val="0"/>
        <w:sz w:val="20"/>
      </w:rPr>
    </w:lvl>
    <w:lvl w:ilvl="1">
      <w:start w:val="1"/>
      <w:numFmt w:val="decimal"/>
      <w:lvlRestart w:val="0"/>
      <w:lvlText w:val="%2.%1"/>
      <w:lvlJc w:val="left"/>
      <w:pPr>
        <w:tabs>
          <w:tab w:val="num" w:pos="576"/>
        </w:tabs>
        <w:ind w:left="576" w:hanging="576"/>
      </w:pPr>
    </w:lvl>
    <w:lvl w:ilvl="2">
      <w:start w:val="1"/>
      <w:numFmt w:val="lowerLetter"/>
      <w:lvlRestart w:val="0"/>
      <w:pStyle w:val="spara"/>
      <w:lvlText w:val="%3."/>
      <w:lvlJc w:val="left"/>
      <w:pPr>
        <w:tabs>
          <w:tab w:val="num" w:pos="720"/>
        </w:tabs>
        <w:ind w:left="720" w:hanging="720"/>
      </w:pPr>
    </w:lvl>
    <w:lvl w:ilvl="3">
      <w:start w:val="1"/>
      <w:numFmt w:val="lowerRoman"/>
      <w:pStyle w:val="sspara"/>
      <w:lvlText w:val="(%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DDD2F8F"/>
    <w:multiLevelType w:val="singleLevel"/>
    <w:tmpl w:val="FD261D0A"/>
    <w:lvl w:ilvl="0">
      <w:start w:val="1"/>
      <w:numFmt w:val="upperLetter"/>
      <w:pStyle w:val="Attachments"/>
      <w:lvlText w:val="%1."/>
      <w:lvlJc w:val="left"/>
      <w:pPr>
        <w:tabs>
          <w:tab w:val="num" w:pos="1440"/>
        </w:tabs>
        <w:ind w:left="1440" w:hanging="533"/>
      </w:pPr>
    </w:lvl>
  </w:abstractNum>
  <w:abstractNum w:abstractNumId="14"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5"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1"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3"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24"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pStyle w:val="Heading3"/>
      <w:lvlText w:val="%1.%2.%3"/>
      <w:lvlJc w:val="left"/>
      <w:pPr>
        <w:tabs>
          <w:tab w:val="num" w:pos="1134"/>
        </w:tabs>
        <w:ind w:left="1134" w:hanging="1134"/>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26" w15:restartNumberingAfterBreak="0">
    <w:nsid w:val="53285E90"/>
    <w:multiLevelType w:val="singleLevel"/>
    <w:tmpl w:val="342037A4"/>
    <w:lvl w:ilvl="0">
      <w:start w:val="1"/>
      <w:numFmt w:val="lowerLetter"/>
      <w:pStyle w:val="Indentlist"/>
      <w:lvlText w:val="%1."/>
      <w:lvlJc w:val="left"/>
      <w:pPr>
        <w:tabs>
          <w:tab w:val="num" w:pos="2552"/>
        </w:tabs>
        <w:ind w:left="2552" w:hanging="851"/>
      </w:pPr>
      <w:rPr>
        <w:rFonts w:hint="default"/>
      </w:rPr>
    </w:lvl>
  </w:abstractNum>
  <w:abstractNum w:abstractNumId="27" w15:restartNumberingAfterBreak="0">
    <w:nsid w:val="535828C6"/>
    <w:multiLevelType w:val="multilevel"/>
    <w:tmpl w:val="0C090023"/>
    <w:lvl w:ilvl="0">
      <w:start w:val="1"/>
      <w:numFmt w:val="upperRoman"/>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8"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5EE42A22"/>
    <w:multiLevelType w:val="multilevel"/>
    <w:tmpl w:val="19040BC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2" w15:restartNumberingAfterBreak="0">
    <w:nsid w:val="607B27FA"/>
    <w:multiLevelType w:val="multilevel"/>
    <w:tmpl w:val="4024192C"/>
    <w:lvl w:ilvl="0">
      <w:start w:val="1"/>
      <w:numFmt w:val="lowerLetter"/>
      <w:pStyle w:val="Notespara"/>
      <w:lvlText w:val="%1."/>
      <w:lvlJc w:val="left"/>
      <w:pPr>
        <w:tabs>
          <w:tab w:val="num" w:pos="1440"/>
        </w:tabs>
        <w:ind w:left="1440" w:hanging="533"/>
      </w:pPr>
      <w:rPr>
        <w:rFonts w:ascii="Arial" w:hAnsi="Arial" w:hint="default"/>
        <w:b/>
        <w:i/>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5"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7810495E"/>
    <w:multiLevelType w:val="singleLevel"/>
    <w:tmpl w:val="90CA269C"/>
    <w:lvl w:ilvl="0">
      <w:start w:val="1"/>
      <w:numFmt w:val="lowerLetter"/>
      <w:pStyle w:val="TablePara"/>
      <w:lvlText w:val="%1."/>
      <w:lvlJc w:val="left"/>
      <w:pPr>
        <w:tabs>
          <w:tab w:val="num" w:pos="720"/>
        </w:tabs>
        <w:ind w:left="720" w:hanging="720"/>
      </w:pPr>
      <w:rPr>
        <w:rFonts w:cs="Times New Roman" w:hint="default"/>
      </w:rPr>
    </w:lvl>
  </w:abstractNum>
  <w:abstractNum w:abstractNumId="40"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1"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20"/>
  </w:num>
  <w:num w:numId="2">
    <w:abstractNumId w:val="7"/>
  </w:num>
  <w:num w:numId="3">
    <w:abstractNumId w:val="25"/>
  </w:num>
  <w:num w:numId="4">
    <w:abstractNumId w:val="5"/>
  </w:num>
  <w:num w:numId="5">
    <w:abstractNumId w:val="32"/>
  </w:num>
  <w:num w:numId="6">
    <w:abstractNumId w:val="8"/>
  </w:num>
  <w:num w:numId="7">
    <w:abstractNumId w:val="13"/>
  </w:num>
  <w:num w:numId="8">
    <w:abstractNumId w:val="3"/>
  </w:num>
  <w:num w:numId="9">
    <w:abstractNumId w:val="39"/>
  </w:num>
  <w:num w:numId="10">
    <w:abstractNumId w:val="26"/>
    <w:lvlOverride w:ilvl="0">
      <w:startOverride w:val="1"/>
    </w:lvlOverride>
  </w:num>
  <w:num w:numId="11">
    <w:abstractNumId w:val="33"/>
  </w:num>
  <w:num w:numId="12">
    <w:abstractNumId w:val="12"/>
  </w:num>
  <w:num w:numId="13">
    <w:abstractNumId w:val="14"/>
  </w:num>
  <w:num w:numId="14">
    <w:abstractNumId w:val="35"/>
  </w:num>
  <w:num w:numId="15">
    <w:abstractNumId w:val="21"/>
  </w:num>
  <w:num w:numId="16">
    <w:abstractNumId w:val="40"/>
  </w:num>
  <w:num w:numId="17">
    <w:abstractNumId w:val="15"/>
  </w:num>
  <w:num w:numId="18">
    <w:abstractNumId w:val="18"/>
  </w:num>
  <w:num w:numId="19">
    <w:abstractNumId w:val="42"/>
  </w:num>
  <w:num w:numId="20">
    <w:abstractNumId w:val="11"/>
  </w:num>
  <w:num w:numId="21">
    <w:abstractNumId w:val="9"/>
  </w:num>
  <w:num w:numId="22">
    <w:abstractNumId w:val="1"/>
  </w:num>
  <w:num w:numId="23">
    <w:abstractNumId w:val="4"/>
  </w:num>
  <w:num w:numId="24">
    <w:abstractNumId w:val="17"/>
  </w:num>
  <w:num w:numId="25">
    <w:abstractNumId w:val="0"/>
  </w:num>
  <w:num w:numId="26">
    <w:abstractNumId w:val="22"/>
  </w:num>
  <w:num w:numId="27">
    <w:abstractNumId w:val="37"/>
  </w:num>
  <w:num w:numId="28">
    <w:abstractNumId w:val="34"/>
  </w:num>
  <w:num w:numId="29">
    <w:abstractNumId w:val="19"/>
  </w:num>
  <w:num w:numId="30">
    <w:abstractNumId w:val="27"/>
  </w:num>
  <w:num w:numId="3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1"/>
  </w:num>
  <w:num w:numId="33">
    <w:abstractNumId w:val="38"/>
  </w:num>
  <w:num w:numId="3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6"/>
  </w:num>
  <w:num w:numId="37">
    <w:abstractNumId w:val="6"/>
  </w:num>
  <w:num w:numId="38">
    <w:abstractNumId w:val="41"/>
  </w:num>
  <w:num w:numId="39">
    <w:abstractNumId w:val="16"/>
  </w:num>
  <w:num w:numId="40">
    <w:abstractNumId w:val="24"/>
  </w:num>
  <w:num w:numId="41">
    <w:abstractNumId w:val="10"/>
  </w:num>
  <w:num w:numId="42">
    <w:abstractNumId w:val="2"/>
  </w:num>
  <w:num w:numId="43">
    <w:abstractNumId w:val="29"/>
  </w:num>
  <w:num w:numId="44">
    <w:abstractNumId w:val="3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DateAndTime/>
  <w:doNotDisplayPageBoundaries/>
  <w:activeWritingStyle w:appName="MSWord" w:lang="en-AU" w:vendorID="64" w:dllVersion="131078" w:nlCheck="1" w:checkStyle="1"/>
  <w:activeWritingStyle w:appName="MSWord" w:lang="en-GB" w:vendorID="64" w:dllVersion="131078" w:nlCheck="1" w:checkStyle="1"/>
  <w:activeWritingStyle w:appName="MSWord" w:lang="en-US" w:vendorID="64" w:dllVersion="131078" w:nlCheck="1" w:checkStyle="1"/>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UFooterText" w:val="L\316008411.1"/>
  </w:docVars>
  <w:rsids>
    <w:rsidRoot w:val="00BC7040"/>
    <w:rsid w:val="00005746"/>
    <w:rsid w:val="00005BED"/>
    <w:rsid w:val="00007D33"/>
    <w:rsid w:val="00010142"/>
    <w:rsid w:val="00011114"/>
    <w:rsid w:val="000113E6"/>
    <w:rsid w:val="000116B4"/>
    <w:rsid w:val="00013A2B"/>
    <w:rsid w:val="00014483"/>
    <w:rsid w:val="00015277"/>
    <w:rsid w:val="000159AA"/>
    <w:rsid w:val="0001605E"/>
    <w:rsid w:val="000179C5"/>
    <w:rsid w:val="000203E1"/>
    <w:rsid w:val="00020818"/>
    <w:rsid w:val="000218D7"/>
    <w:rsid w:val="00021CF4"/>
    <w:rsid w:val="000266ED"/>
    <w:rsid w:val="0002728F"/>
    <w:rsid w:val="00027C7D"/>
    <w:rsid w:val="00033EAC"/>
    <w:rsid w:val="00036157"/>
    <w:rsid w:val="00036ECC"/>
    <w:rsid w:val="000371DA"/>
    <w:rsid w:val="00037FCE"/>
    <w:rsid w:val="00041716"/>
    <w:rsid w:val="00041978"/>
    <w:rsid w:val="00041A96"/>
    <w:rsid w:val="00041BB7"/>
    <w:rsid w:val="00042524"/>
    <w:rsid w:val="00044C59"/>
    <w:rsid w:val="000470C6"/>
    <w:rsid w:val="0004733B"/>
    <w:rsid w:val="00050369"/>
    <w:rsid w:val="00050DE6"/>
    <w:rsid w:val="0005140F"/>
    <w:rsid w:val="00051B7B"/>
    <w:rsid w:val="0005260E"/>
    <w:rsid w:val="00052A60"/>
    <w:rsid w:val="00053BDB"/>
    <w:rsid w:val="00055A53"/>
    <w:rsid w:val="00056CFD"/>
    <w:rsid w:val="00056DEF"/>
    <w:rsid w:val="00057131"/>
    <w:rsid w:val="00057FA6"/>
    <w:rsid w:val="0006089E"/>
    <w:rsid w:val="00061795"/>
    <w:rsid w:val="0006201F"/>
    <w:rsid w:val="00063712"/>
    <w:rsid w:val="000663E3"/>
    <w:rsid w:val="000701CE"/>
    <w:rsid w:val="0007301B"/>
    <w:rsid w:val="00073319"/>
    <w:rsid w:val="0007560D"/>
    <w:rsid w:val="00075B35"/>
    <w:rsid w:val="00081104"/>
    <w:rsid w:val="000824B7"/>
    <w:rsid w:val="00082D87"/>
    <w:rsid w:val="00084532"/>
    <w:rsid w:val="000849FA"/>
    <w:rsid w:val="00090518"/>
    <w:rsid w:val="000911F8"/>
    <w:rsid w:val="00092E09"/>
    <w:rsid w:val="0009432A"/>
    <w:rsid w:val="00094992"/>
    <w:rsid w:val="000957FB"/>
    <w:rsid w:val="00095CC0"/>
    <w:rsid w:val="00096705"/>
    <w:rsid w:val="00096DE7"/>
    <w:rsid w:val="000A18DD"/>
    <w:rsid w:val="000A2A6B"/>
    <w:rsid w:val="000A4078"/>
    <w:rsid w:val="000A4128"/>
    <w:rsid w:val="000A5658"/>
    <w:rsid w:val="000A5702"/>
    <w:rsid w:val="000A5FE3"/>
    <w:rsid w:val="000A6773"/>
    <w:rsid w:val="000B1239"/>
    <w:rsid w:val="000B2762"/>
    <w:rsid w:val="000B308B"/>
    <w:rsid w:val="000B460C"/>
    <w:rsid w:val="000B510A"/>
    <w:rsid w:val="000C0F36"/>
    <w:rsid w:val="000C1DA9"/>
    <w:rsid w:val="000C2F82"/>
    <w:rsid w:val="000C4451"/>
    <w:rsid w:val="000C47D5"/>
    <w:rsid w:val="000C49B2"/>
    <w:rsid w:val="000C6C13"/>
    <w:rsid w:val="000C73BB"/>
    <w:rsid w:val="000C7E58"/>
    <w:rsid w:val="000D19F9"/>
    <w:rsid w:val="000D49D7"/>
    <w:rsid w:val="000D64C3"/>
    <w:rsid w:val="000E11A4"/>
    <w:rsid w:val="000E38FB"/>
    <w:rsid w:val="000E536B"/>
    <w:rsid w:val="000E5438"/>
    <w:rsid w:val="000E69FD"/>
    <w:rsid w:val="000F0613"/>
    <w:rsid w:val="000F2CAA"/>
    <w:rsid w:val="000F2D82"/>
    <w:rsid w:val="000F37A0"/>
    <w:rsid w:val="000F44EC"/>
    <w:rsid w:val="000F7A5F"/>
    <w:rsid w:val="0010090B"/>
    <w:rsid w:val="00101767"/>
    <w:rsid w:val="00101A1E"/>
    <w:rsid w:val="00102093"/>
    <w:rsid w:val="00103339"/>
    <w:rsid w:val="00105571"/>
    <w:rsid w:val="001103ED"/>
    <w:rsid w:val="00111780"/>
    <w:rsid w:val="001117CE"/>
    <w:rsid w:val="00112674"/>
    <w:rsid w:val="0011295B"/>
    <w:rsid w:val="00114CAD"/>
    <w:rsid w:val="001163DC"/>
    <w:rsid w:val="00120B01"/>
    <w:rsid w:val="00121754"/>
    <w:rsid w:val="00122B76"/>
    <w:rsid w:val="001232AA"/>
    <w:rsid w:val="00124CB2"/>
    <w:rsid w:val="0012503C"/>
    <w:rsid w:val="00126EBB"/>
    <w:rsid w:val="00127EB0"/>
    <w:rsid w:val="00131FCC"/>
    <w:rsid w:val="0013365D"/>
    <w:rsid w:val="00133D1C"/>
    <w:rsid w:val="0014060B"/>
    <w:rsid w:val="00143222"/>
    <w:rsid w:val="00143AF9"/>
    <w:rsid w:val="00144B8B"/>
    <w:rsid w:val="00145036"/>
    <w:rsid w:val="00145459"/>
    <w:rsid w:val="00145F7A"/>
    <w:rsid w:val="0014661E"/>
    <w:rsid w:val="00146BE0"/>
    <w:rsid w:val="00151196"/>
    <w:rsid w:val="00152CA2"/>
    <w:rsid w:val="00152D97"/>
    <w:rsid w:val="00153641"/>
    <w:rsid w:val="00156A7B"/>
    <w:rsid w:val="00156D43"/>
    <w:rsid w:val="00160334"/>
    <w:rsid w:val="00161D35"/>
    <w:rsid w:val="00162649"/>
    <w:rsid w:val="001639B3"/>
    <w:rsid w:val="00165DE0"/>
    <w:rsid w:val="001667F9"/>
    <w:rsid w:val="00166C7E"/>
    <w:rsid w:val="00166FD5"/>
    <w:rsid w:val="001678C1"/>
    <w:rsid w:val="00167D52"/>
    <w:rsid w:val="0017270C"/>
    <w:rsid w:val="0017469E"/>
    <w:rsid w:val="0017659A"/>
    <w:rsid w:val="00177596"/>
    <w:rsid w:val="00177AD1"/>
    <w:rsid w:val="0018360D"/>
    <w:rsid w:val="00183CDC"/>
    <w:rsid w:val="001840C2"/>
    <w:rsid w:val="00185FA0"/>
    <w:rsid w:val="00185FA6"/>
    <w:rsid w:val="00187F17"/>
    <w:rsid w:val="00190B84"/>
    <w:rsid w:val="00191371"/>
    <w:rsid w:val="00191A8E"/>
    <w:rsid w:val="00193336"/>
    <w:rsid w:val="00196337"/>
    <w:rsid w:val="00197491"/>
    <w:rsid w:val="0019771A"/>
    <w:rsid w:val="001979A2"/>
    <w:rsid w:val="001A05AA"/>
    <w:rsid w:val="001A20F1"/>
    <w:rsid w:val="001A30D3"/>
    <w:rsid w:val="001A3AD5"/>
    <w:rsid w:val="001A431A"/>
    <w:rsid w:val="001A4A37"/>
    <w:rsid w:val="001A58C2"/>
    <w:rsid w:val="001B00D0"/>
    <w:rsid w:val="001B0457"/>
    <w:rsid w:val="001B099A"/>
    <w:rsid w:val="001B0A71"/>
    <w:rsid w:val="001B20C9"/>
    <w:rsid w:val="001B4FF5"/>
    <w:rsid w:val="001B5F10"/>
    <w:rsid w:val="001C0AC7"/>
    <w:rsid w:val="001C6E6E"/>
    <w:rsid w:val="001D0DDB"/>
    <w:rsid w:val="001D5E68"/>
    <w:rsid w:val="001D7892"/>
    <w:rsid w:val="001D7FA2"/>
    <w:rsid w:val="001E0F52"/>
    <w:rsid w:val="001E565B"/>
    <w:rsid w:val="001E77E6"/>
    <w:rsid w:val="001E7AE0"/>
    <w:rsid w:val="001F0526"/>
    <w:rsid w:val="001F16C3"/>
    <w:rsid w:val="001F248C"/>
    <w:rsid w:val="001F3F18"/>
    <w:rsid w:val="00202916"/>
    <w:rsid w:val="00203EB9"/>
    <w:rsid w:val="00204335"/>
    <w:rsid w:val="0020579A"/>
    <w:rsid w:val="00206439"/>
    <w:rsid w:val="00206A16"/>
    <w:rsid w:val="00207AEF"/>
    <w:rsid w:val="002125B8"/>
    <w:rsid w:val="00212C3C"/>
    <w:rsid w:val="00213329"/>
    <w:rsid w:val="00213E31"/>
    <w:rsid w:val="0021460F"/>
    <w:rsid w:val="00215E90"/>
    <w:rsid w:val="00216C60"/>
    <w:rsid w:val="002212B5"/>
    <w:rsid w:val="00222310"/>
    <w:rsid w:val="00223006"/>
    <w:rsid w:val="00223C2F"/>
    <w:rsid w:val="0022414B"/>
    <w:rsid w:val="00224B23"/>
    <w:rsid w:val="0022545A"/>
    <w:rsid w:val="002272BF"/>
    <w:rsid w:val="0023052E"/>
    <w:rsid w:val="0023092A"/>
    <w:rsid w:val="00234A7E"/>
    <w:rsid w:val="002350E0"/>
    <w:rsid w:val="00237CA5"/>
    <w:rsid w:val="0024043C"/>
    <w:rsid w:val="00243052"/>
    <w:rsid w:val="00243938"/>
    <w:rsid w:val="00244B24"/>
    <w:rsid w:val="00245F0E"/>
    <w:rsid w:val="00246E79"/>
    <w:rsid w:val="00250A80"/>
    <w:rsid w:val="00250C94"/>
    <w:rsid w:val="00251455"/>
    <w:rsid w:val="002535E7"/>
    <w:rsid w:val="0025375E"/>
    <w:rsid w:val="00253AAC"/>
    <w:rsid w:val="002540EB"/>
    <w:rsid w:val="0026023D"/>
    <w:rsid w:val="00260D4F"/>
    <w:rsid w:val="0026140C"/>
    <w:rsid w:val="00265B25"/>
    <w:rsid w:val="0026633E"/>
    <w:rsid w:val="0026711B"/>
    <w:rsid w:val="002678D0"/>
    <w:rsid w:val="0027136C"/>
    <w:rsid w:val="0027247F"/>
    <w:rsid w:val="00272A08"/>
    <w:rsid w:val="00272AB7"/>
    <w:rsid w:val="002740FC"/>
    <w:rsid w:val="00275888"/>
    <w:rsid w:val="0028083D"/>
    <w:rsid w:val="00280F4C"/>
    <w:rsid w:val="00283DA9"/>
    <w:rsid w:val="0028400E"/>
    <w:rsid w:val="002865FA"/>
    <w:rsid w:val="00286C7B"/>
    <w:rsid w:val="002903D5"/>
    <w:rsid w:val="002908C0"/>
    <w:rsid w:val="00290C28"/>
    <w:rsid w:val="00294152"/>
    <w:rsid w:val="0029446D"/>
    <w:rsid w:val="002944B9"/>
    <w:rsid w:val="00295CF4"/>
    <w:rsid w:val="00297C25"/>
    <w:rsid w:val="002A014F"/>
    <w:rsid w:val="002A172A"/>
    <w:rsid w:val="002A1D35"/>
    <w:rsid w:val="002A23AD"/>
    <w:rsid w:val="002A2E9D"/>
    <w:rsid w:val="002A54EF"/>
    <w:rsid w:val="002A71FF"/>
    <w:rsid w:val="002A76EC"/>
    <w:rsid w:val="002B0BA2"/>
    <w:rsid w:val="002B1020"/>
    <w:rsid w:val="002B1A6C"/>
    <w:rsid w:val="002B2300"/>
    <w:rsid w:val="002B2600"/>
    <w:rsid w:val="002B28B8"/>
    <w:rsid w:val="002B2A31"/>
    <w:rsid w:val="002B2D55"/>
    <w:rsid w:val="002B40E8"/>
    <w:rsid w:val="002B6F4E"/>
    <w:rsid w:val="002C0979"/>
    <w:rsid w:val="002C15EF"/>
    <w:rsid w:val="002C28E2"/>
    <w:rsid w:val="002C3EC2"/>
    <w:rsid w:val="002C770E"/>
    <w:rsid w:val="002D18A8"/>
    <w:rsid w:val="002D247C"/>
    <w:rsid w:val="002D305D"/>
    <w:rsid w:val="002D388A"/>
    <w:rsid w:val="002D4455"/>
    <w:rsid w:val="002D5032"/>
    <w:rsid w:val="002E018C"/>
    <w:rsid w:val="002E21FF"/>
    <w:rsid w:val="002E2693"/>
    <w:rsid w:val="002E3B8D"/>
    <w:rsid w:val="002E732F"/>
    <w:rsid w:val="002F22A4"/>
    <w:rsid w:val="002F31F2"/>
    <w:rsid w:val="002F4D54"/>
    <w:rsid w:val="002F557A"/>
    <w:rsid w:val="002F55B8"/>
    <w:rsid w:val="002F5F70"/>
    <w:rsid w:val="002F7C8C"/>
    <w:rsid w:val="0030156B"/>
    <w:rsid w:val="00301D63"/>
    <w:rsid w:val="003034B2"/>
    <w:rsid w:val="00305D21"/>
    <w:rsid w:val="003113E9"/>
    <w:rsid w:val="00312377"/>
    <w:rsid w:val="00317F1C"/>
    <w:rsid w:val="003216FF"/>
    <w:rsid w:val="003246D5"/>
    <w:rsid w:val="003248DB"/>
    <w:rsid w:val="00330B07"/>
    <w:rsid w:val="00331148"/>
    <w:rsid w:val="00332998"/>
    <w:rsid w:val="00332FFF"/>
    <w:rsid w:val="003334AD"/>
    <w:rsid w:val="00334186"/>
    <w:rsid w:val="00334495"/>
    <w:rsid w:val="0033468D"/>
    <w:rsid w:val="00334FA7"/>
    <w:rsid w:val="003350FF"/>
    <w:rsid w:val="00341B0A"/>
    <w:rsid w:val="00344808"/>
    <w:rsid w:val="003457DF"/>
    <w:rsid w:val="003470BF"/>
    <w:rsid w:val="0034718A"/>
    <w:rsid w:val="00350074"/>
    <w:rsid w:val="00350D7F"/>
    <w:rsid w:val="00353D7E"/>
    <w:rsid w:val="0035479C"/>
    <w:rsid w:val="00354ED4"/>
    <w:rsid w:val="003570DB"/>
    <w:rsid w:val="003571D0"/>
    <w:rsid w:val="003623B6"/>
    <w:rsid w:val="00362ABD"/>
    <w:rsid w:val="00362EA2"/>
    <w:rsid w:val="00364DD3"/>
    <w:rsid w:val="00367361"/>
    <w:rsid w:val="00367509"/>
    <w:rsid w:val="0037036A"/>
    <w:rsid w:val="0037199A"/>
    <w:rsid w:val="00372BB5"/>
    <w:rsid w:val="00374557"/>
    <w:rsid w:val="003752E3"/>
    <w:rsid w:val="00376AD1"/>
    <w:rsid w:val="00380253"/>
    <w:rsid w:val="00383908"/>
    <w:rsid w:val="00390A92"/>
    <w:rsid w:val="00390B4C"/>
    <w:rsid w:val="00392584"/>
    <w:rsid w:val="00393216"/>
    <w:rsid w:val="00393986"/>
    <w:rsid w:val="00393C5D"/>
    <w:rsid w:val="00394314"/>
    <w:rsid w:val="0039431C"/>
    <w:rsid w:val="00395522"/>
    <w:rsid w:val="00396EDE"/>
    <w:rsid w:val="003A3770"/>
    <w:rsid w:val="003B1A07"/>
    <w:rsid w:val="003B3633"/>
    <w:rsid w:val="003B41E0"/>
    <w:rsid w:val="003B616B"/>
    <w:rsid w:val="003B7284"/>
    <w:rsid w:val="003C24C4"/>
    <w:rsid w:val="003C3A24"/>
    <w:rsid w:val="003C754B"/>
    <w:rsid w:val="003D10DC"/>
    <w:rsid w:val="003D2571"/>
    <w:rsid w:val="003D3063"/>
    <w:rsid w:val="003D494D"/>
    <w:rsid w:val="003D5DDE"/>
    <w:rsid w:val="003D67C4"/>
    <w:rsid w:val="003E191B"/>
    <w:rsid w:val="003E49CD"/>
    <w:rsid w:val="003F0062"/>
    <w:rsid w:val="003F0927"/>
    <w:rsid w:val="003F095A"/>
    <w:rsid w:val="003F1472"/>
    <w:rsid w:val="003F1715"/>
    <w:rsid w:val="003F3F8D"/>
    <w:rsid w:val="003F461A"/>
    <w:rsid w:val="003F5AB7"/>
    <w:rsid w:val="003F6A8E"/>
    <w:rsid w:val="003F6BD6"/>
    <w:rsid w:val="003F7395"/>
    <w:rsid w:val="00402A0E"/>
    <w:rsid w:val="00403704"/>
    <w:rsid w:val="004038A7"/>
    <w:rsid w:val="004047AF"/>
    <w:rsid w:val="00405DBC"/>
    <w:rsid w:val="0040655E"/>
    <w:rsid w:val="00410375"/>
    <w:rsid w:val="004109A4"/>
    <w:rsid w:val="00413253"/>
    <w:rsid w:val="00413FCF"/>
    <w:rsid w:val="0042029A"/>
    <w:rsid w:val="004206FD"/>
    <w:rsid w:val="00420EEE"/>
    <w:rsid w:val="00423160"/>
    <w:rsid w:val="00424A44"/>
    <w:rsid w:val="00425923"/>
    <w:rsid w:val="00425EC7"/>
    <w:rsid w:val="00426909"/>
    <w:rsid w:val="0042730E"/>
    <w:rsid w:val="00432162"/>
    <w:rsid w:val="004321EA"/>
    <w:rsid w:val="0043236D"/>
    <w:rsid w:val="00432402"/>
    <w:rsid w:val="00432F9C"/>
    <w:rsid w:val="0043620D"/>
    <w:rsid w:val="004363DE"/>
    <w:rsid w:val="0043761C"/>
    <w:rsid w:val="00440EB0"/>
    <w:rsid w:val="004420DA"/>
    <w:rsid w:val="004433A5"/>
    <w:rsid w:val="00443D87"/>
    <w:rsid w:val="0044572D"/>
    <w:rsid w:val="004458DC"/>
    <w:rsid w:val="00446580"/>
    <w:rsid w:val="00447B7C"/>
    <w:rsid w:val="004519F6"/>
    <w:rsid w:val="00451F86"/>
    <w:rsid w:val="00452A1B"/>
    <w:rsid w:val="00453096"/>
    <w:rsid w:val="00453507"/>
    <w:rsid w:val="004536E1"/>
    <w:rsid w:val="004537A7"/>
    <w:rsid w:val="0045398A"/>
    <w:rsid w:val="0045463B"/>
    <w:rsid w:val="00460598"/>
    <w:rsid w:val="0046092B"/>
    <w:rsid w:val="0046101E"/>
    <w:rsid w:val="004675EF"/>
    <w:rsid w:val="00472034"/>
    <w:rsid w:val="00476E8E"/>
    <w:rsid w:val="00477103"/>
    <w:rsid w:val="00481A00"/>
    <w:rsid w:val="0048385A"/>
    <w:rsid w:val="00484C20"/>
    <w:rsid w:val="00486EAD"/>
    <w:rsid w:val="00487EFC"/>
    <w:rsid w:val="00487F5E"/>
    <w:rsid w:val="00493BB9"/>
    <w:rsid w:val="004965A5"/>
    <w:rsid w:val="004967CE"/>
    <w:rsid w:val="004968AB"/>
    <w:rsid w:val="004A123A"/>
    <w:rsid w:val="004A249D"/>
    <w:rsid w:val="004A32CB"/>
    <w:rsid w:val="004A4ED2"/>
    <w:rsid w:val="004A5E11"/>
    <w:rsid w:val="004A5EAD"/>
    <w:rsid w:val="004B00DF"/>
    <w:rsid w:val="004B44A1"/>
    <w:rsid w:val="004B4D3A"/>
    <w:rsid w:val="004B5635"/>
    <w:rsid w:val="004C0E23"/>
    <w:rsid w:val="004C5CD1"/>
    <w:rsid w:val="004C6560"/>
    <w:rsid w:val="004C69A1"/>
    <w:rsid w:val="004C7027"/>
    <w:rsid w:val="004C72FB"/>
    <w:rsid w:val="004D1BA9"/>
    <w:rsid w:val="004D282C"/>
    <w:rsid w:val="004D4AAB"/>
    <w:rsid w:val="004D5A1A"/>
    <w:rsid w:val="004D5A89"/>
    <w:rsid w:val="004D5B36"/>
    <w:rsid w:val="004D6097"/>
    <w:rsid w:val="004D75C9"/>
    <w:rsid w:val="004D7D88"/>
    <w:rsid w:val="004E1066"/>
    <w:rsid w:val="004E1FFA"/>
    <w:rsid w:val="004E3296"/>
    <w:rsid w:val="004E35AC"/>
    <w:rsid w:val="004E5EDE"/>
    <w:rsid w:val="004E5FA4"/>
    <w:rsid w:val="004E6778"/>
    <w:rsid w:val="004E70B1"/>
    <w:rsid w:val="004F1277"/>
    <w:rsid w:val="004F1E1B"/>
    <w:rsid w:val="004F2094"/>
    <w:rsid w:val="004F3A92"/>
    <w:rsid w:val="004F4BAC"/>
    <w:rsid w:val="004F62F7"/>
    <w:rsid w:val="004F7155"/>
    <w:rsid w:val="004F74B6"/>
    <w:rsid w:val="004F7D69"/>
    <w:rsid w:val="0050116E"/>
    <w:rsid w:val="0050293D"/>
    <w:rsid w:val="005035AA"/>
    <w:rsid w:val="005044A6"/>
    <w:rsid w:val="005065E9"/>
    <w:rsid w:val="00506E20"/>
    <w:rsid w:val="00506F87"/>
    <w:rsid w:val="00510A48"/>
    <w:rsid w:val="005110BD"/>
    <w:rsid w:val="005130EE"/>
    <w:rsid w:val="00514187"/>
    <w:rsid w:val="00514286"/>
    <w:rsid w:val="00514666"/>
    <w:rsid w:val="00515F11"/>
    <w:rsid w:val="00520320"/>
    <w:rsid w:val="00520954"/>
    <w:rsid w:val="00520F3C"/>
    <w:rsid w:val="005218C3"/>
    <w:rsid w:val="00524F45"/>
    <w:rsid w:val="0052756E"/>
    <w:rsid w:val="005310CD"/>
    <w:rsid w:val="0053149D"/>
    <w:rsid w:val="00531FC0"/>
    <w:rsid w:val="005323CD"/>
    <w:rsid w:val="005327C6"/>
    <w:rsid w:val="005328A3"/>
    <w:rsid w:val="00535B56"/>
    <w:rsid w:val="00536AFD"/>
    <w:rsid w:val="00537276"/>
    <w:rsid w:val="00540125"/>
    <w:rsid w:val="00541029"/>
    <w:rsid w:val="005425C8"/>
    <w:rsid w:val="0054560F"/>
    <w:rsid w:val="005462E8"/>
    <w:rsid w:val="00546C05"/>
    <w:rsid w:val="00546E8C"/>
    <w:rsid w:val="005473BA"/>
    <w:rsid w:val="005518C4"/>
    <w:rsid w:val="005522D9"/>
    <w:rsid w:val="00553B81"/>
    <w:rsid w:val="00555A90"/>
    <w:rsid w:val="00556D96"/>
    <w:rsid w:val="00563D73"/>
    <w:rsid w:val="0056464D"/>
    <w:rsid w:val="00566D57"/>
    <w:rsid w:val="00566EA4"/>
    <w:rsid w:val="0056736E"/>
    <w:rsid w:val="00567585"/>
    <w:rsid w:val="00570DE3"/>
    <w:rsid w:val="00573BFF"/>
    <w:rsid w:val="005807BB"/>
    <w:rsid w:val="00581570"/>
    <w:rsid w:val="00581D1A"/>
    <w:rsid w:val="005821C7"/>
    <w:rsid w:val="00583B52"/>
    <w:rsid w:val="00584422"/>
    <w:rsid w:val="00586E47"/>
    <w:rsid w:val="005875D1"/>
    <w:rsid w:val="00587B56"/>
    <w:rsid w:val="00587D24"/>
    <w:rsid w:val="005900C8"/>
    <w:rsid w:val="00591C0B"/>
    <w:rsid w:val="0059429E"/>
    <w:rsid w:val="005971A9"/>
    <w:rsid w:val="005972C8"/>
    <w:rsid w:val="00597E9F"/>
    <w:rsid w:val="005A0DBA"/>
    <w:rsid w:val="005A0EB1"/>
    <w:rsid w:val="005A335C"/>
    <w:rsid w:val="005A74C0"/>
    <w:rsid w:val="005B0C84"/>
    <w:rsid w:val="005B1D27"/>
    <w:rsid w:val="005B1F80"/>
    <w:rsid w:val="005B3874"/>
    <w:rsid w:val="005B3A78"/>
    <w:rsid w:val="005B3BEF"/>
    <w:rsid w:val="005B3F55"/>
    <w:rsid w:val="005C0D8D"/>
    <w:rsid w:val="005C115A"/>
    <w:rsid w:val="005C11A4"/>
    <w:rsid w:val="005C2F35"/>
    <w:rsid w:val="005C3BC7"/>
    <w:rsid w:val="005C7F77"/>
    <w:rsid w:val="005D480F"/>
    <w:rsid w:val="005D786C"/>
    <w:rsid w:val="005E2016"/>
    <w:rsid w:val="005E56FF"/>
    <w:rsid w:val="005E792C"/>
    <w:rsid w:val="005E7F2D"/>
    <w:rsid w:val="005F4918"/>
    <w:rsid w:val="005F4C2B"/>
    <w:rsid w:val="005F5EA3"/>
    <w:rsid w:val="00601E3E"/>
    <w:rsid w:val="00602528"/>
    <w:rsid w:val="00604824"/>
    <w:rsid w:val="006048F9"/>
    <w:rsid w:val="00605C30"/>
    <w:rsid w:val="00607C55"/>
    <w:rsid w:val="006158B9"/>
    <w:rsid w:val="00616648"/>
    <w:rsid w:val="0062024C"/>
    <w:rsid w:val="006211EA"/>
    <w:rsid w:val="0062198A"/>
    <w:rsid w:val="0062384E"/>
    <w:rsid w:val="00623C76"/>
    <w:rsid w:val="00624EF7"/>
    <w:rsid w:val="0062524D"/>
    <w:rsid w:val="0062554F"/>
    <w:rsid w:val="006255A6"/>
    <w:rsid w:val="00625806"/>
    <w:rsid w:val="00625816"/>
    <w:rsid w:val="00625DA0"/>
    <w:rsid w:val="00627A06"/>
    <w:rsid w:val="00630D47"/>
    <w:rsid w:val="00631447"/>
    <w:rsid w:val="00641390"/>
    <w:rsid w:val="00644B54"/>
    <w:rsid w:val="00646377"/>
    <w:rsid w:val="0064756F"/>
    <w:rsid w:val="006477FE"/>
    <w:rsid w:val="00654D4D"/>
    <w:rsid w:val="00655086"/>
    <w:rsid w:val="00655EFF"/>
    <w:rsid w:val="006577CC"/>
    <w:rsid w:val="00660964"/>
    <w:rsid w:val="00664204"/>
    <w:rsid w:val="0066693D"/>
    <w:rsid w:val="00666A36"/>
    <w:rsid w:val="006677BF"/>
    <w:rsid w:val="00667917"/>
    <w:rsid w:val="00671756"/>
    <w:rsid w:val="00672A76"/>
    <w:rsid w:val="0067530C"/>
    <w:rsid w:val="006769FF"/>
    <w:rsid w:val="0068010F"/>
    <w:rsid w:val="006809FA"/>
    <w:rsid w:val="006845A2"/>
    <w:rsid w:val="00684E84"/>
    <w:rsid w:val="00685AAF"/>
    <w:rsid w:val="00686B4C"/>
    <w:rsid w:val="006908B8"/>
    <w:rsid w:val="006913D7"/>
    <w:rsid w:val="00693467"/>
    <w:rsid w:val="00693DD8"/>
    <w:rsid w:val="00693F5A"/>
    <w:rsid w:val="00695E39"/>
    <w:rsid w:val="00696CB0"/>
    <w:rsid w:val="00697902"/>
    <w:rsid w:val="006979C1"/>
    <w:rsid w:val="006A01FC"/>
    <w:rsid w:val="006A0839"/>
    <w:rsid w:val="006A7A0D"/>
    <w:rsid w:val="006B06BF"/>
    <w:rsid w:val="006B4475"/>
    <w:rsid w:val="006B49F4"/>
    <w:rsid w:val="006B5840"/>
    <w:rsid w:val="006B6EC1"/>
    <w:rsid w:val="006B74A0"/>
    <w:rsid w:val="006B798C"/>
    <w:rsid w:val="006C39FE"/>
    <w:rsid w:val="006C3CB1"/>
    <w:rsid w:val="006C4345"/>
    <w:rsid w:val="006C67D4"/>
    <w:rsid w:val="006C6BBB"/>
    <w:rsid w:val="006D0F1B"/>
    <w:rsid w:val="006D19A5"/>
    <w:rsid w:val="006D231D"/>
    <w:rsid w:val="006D3074"/>
    <w:rsid w:val="006D6089"/>
    <w:rsid w:val="006E153F"/>
    <w:rsid w:val="006E1702"/>
    <w:rsid w:val="006E2020"/>
    <w:rsid w:val="006E2412"/>
    <w:rsid w:val="006E4183"/>
    <w:rsid w:val="006E68F2"/>
    <w:rsid w:val="006E78CC"/>
    <w:rsid w:val="006F19DE"/>
    <w:rsid w:val="006F1FB3"/>
    <w:rsid w:val="006F2E2B"/>
    <w:rsid w:val="006F58A8"/>
    <w:rsid w:val="006F662D"/>
    <w:rsid w:val="006F6B17"/>
    <w:rsid w:val="00701BE3"/>
    <w:rsid w:val="00701E66"/>
    <w:rsid w:val="00702370"/>
    <w:rsid w:val="007030B4"/>
    <w:rsid w:val="0070369C"/>
    <w:rsid w:val="00706989"/>
    <w:rsid w:val="00710C7E"/>
    <w:rsid w:val="00711816"/>
    <w:rsid w:val="00712DC1"/>
    <w:rsid w:val="00715230"/>
    <w:rsid w:val="00715C6A"/>
    <w:rsid w:val="007200E9"/>
    <w:rsid w:val="00720939"/>
    <w:rsid w:val="00721D75"/>
    <w:rsid w:val="00722351"/>
    <w:rsid w:val="007224DA"/>
    <w:rsid w:val="00724058"/>
    <w:rsid w:val="0072456D"/>
    <w:rsid w:val="0072479A"/>
    <w:rsid w:val="00725370"/>
    <w:rsid w:val="00725F62"/>
    <w:rsid w:val="00726EA9"/>
    <w:rsid w:val="00730D21"/>
    <w:rsid w:val="007319F6"/>
    <w:rsid w:val="007326AD"/>
    <w:rsid w:val="00732746"/>
    <w:rsid w:val="00732E7B"/>
    <w:rsid w:val="00735648"/>
    <w:rsid w:val="00736614"/>
    <w:rsid w:val="00736CCC"/>
    <w:rsid w:val="007404BE"/>
    <w:rsid w:val="00742650"/>
    <w:rsid w:val="00742BA8"/>
    <w:rsid w:val="00742DED"/>
    <w:rsid w:val="007461A3"/>
    <w:rsid w:val="00746EEA"/>
    <w:rsid w:val="007507FC"/>
    <w:rsid w:val="00752936"/>
    <w:rsid w:val="0075540B"/>
    <w:rsid w:val="0075641B"/>
    <w:rsid w:val="00756785"/>
    <w:rsid w:val="00757B07"/>
    <w:rsid w:val="007604A1"/>
    <w:rsid w:val="00761E5C"/>
    <w:rsid w:val="00763698"/>
    <w:rsid w:val="0076512F"/>
    <w:rsid w:val="00765C48"/>
    <w:rsid w:val="00766C6D"/>
    <w:rsid w:val="00767155"/>
    <w:rsid w:val="00771C81"/>
    <w:rsid w:val="00773165"/>
    <w:rsid w:val="0077359B"/>
    <w:rsid w:val="00773F54"/>
    <w:rsid w:val="00776782"/>
    <w:rsid w:val="0077760D"/>
    <w:rsid w:val="0078032C"/>
    <w:rsid w:val="00781968"/>
    <w:rsid w:val="00783D8E"/>
    <w:rsid w:val="00785BA7"/>
    <w:rsid w:val="00786431"/>
    <w:rsid w:val="00786687"/>
    <w:rsid w:val="00787FEF"/>
    <w:rsid w:val="00791DE4"/>
    <w:rsid w:val="0079310E"/>
    <w:rsid w:val="00793ADB"/>
    <w:rsid w:val="007957E3"/>
    <w:rsid w:val="007960A5"/>
    <w:rsid w:val="007962BD"/>
    <w:rsid w:val="007973D1"/>
    <w:rsid w:val="007977E7"/>
    <w:rsid w:val="00797C46"/>
    <w:rsid w:val="00797F6D"/>
    <w:rsid w:val="007A3452"/>
    <w:rsid w:val="007A3792"/>
    <w:rsid w:val="007A5639"/>
    <w:rsid w:val="007A684A"/>
    <w:rsid w:val="007B356E"/>
    <w:rsid w:val="007B56D9"/>
    <w:rsid w:val="007B779A"/>
    <w:rsid w:val="007C2504"/>
    <w:rsid w:val="007C2B08"/>
    <w:rsid w:val="007C379E"/>
    <w:rsid w:val="007C42DC"/>
    <w:rsid w:val="007C5E6B"/>
    <w:rsid w:val="007D1472"/>
    <w:rsid w:val="007D4249"/>
    <w:rsid w:val="007D446B"/>
    <w:rsid w:val="007D5C6B"/>
    <w:rsid w:val="007D5FC9"/>
    <w:rsid w:val="007D6A70"/>
    <w:rsid w:val="007D6CF6"/>
    <w:rsid w:val="007D7505"/>
    <w:rsid w:val="007E198B"/>
    <w:rsid w:val="007E25FD"/>
    <w:rsid w:val="007E2AC1"/>
    <w:rsid w:val="007E526B"/>
    <w:rsid w:val="007E7BE3"/>
    <w:rsid w:val="007F0FC4"/>
    <w:rsid w:val="007F2B6C"/>
    <w:rsid w:val="007F58AA"/>
    <w:rsid w:val="007F5F34"/>
    <w:rsid w:val="007F60DE"/>
    <w:rsid w:val="007F62E6"/>
    <w:rsid w:val="007F6C22"/>
    <w:rsid w:val="00800E1E"/>
    <w:rsid w:val="008027BE"/>
    <w:rsid w:val="00803D03"/>
    <w:rsid w:val="00804EC5"/>
    <w:rsid w:val="00810248"/>
    <w:rsid w:val="00811E00"/>
    <w:rsid w:val="00812B08"/>
    <w:rsid w:val="00814B8E"/>
    <w:rsid w:val="00816756"/>
    <w:rsid w:val="008171CF"/>
    <w:rsid w:val="00820D1B"/>
    <w:rsid w:val="00820D83"/>
    <w:rsid w:val="00821F82"/>
    <w:rsid w:val="00822EDE"/>
    <w:rsid w:val="00831475"/>
    <w:rsid w:val="00832AD8"/>
    <w:rsid w:val="00833C55"/>
    <w:rsid w:val="008357A0"/>
    <w:rsid w:val="00835F24"/>
    <w:rsid w:val="00836834"/>
    <w:rsid w:val="00836E07"/>
    <w:rsid w:val="0083753B"/>
    <w:rsid w:val="0083780F"/>
    <w:rsid w:val="008432C5"/>
    <w:rsid w:val="00843625"/>
    <w:rsid w:val="00844260"/>
    <w:rsid w:val="0084572A"/>
    <w:rsid w:val="00846937"/>
    <w:rsid w:val="00847219"/>
    <w:rsid w:val="008502B8"/>
    <w:rsid w:val="00850493"/>
    <w:rsid w:val="00852116"/>
    <w:rsid w:val="00852409"/>
    <w:rsid w:val="00854258"/>
    <w:rsid w:val="00860964"/>
    <w:rsid w:val="00860B04"/>
    <w:rsid w:val="00862564"/>
    <w:rsid w:val="00863F65"/>
    <w:rsid w:val="00864EBF"/>
    <w:rsid w:val="008653AB"/>
    <w:rsid w:val="0086746E"/>
    <w:rsid w:val="00871DE9"/>
    <w:rsid w:val="0087243E"/>
    <w:rsid w:val="00873998"/>
    <w:rsid w:val="0087455A"/>
    <w:rsid w:val="00874764"/>
    <w:rsid w:val="00875B9C"/>
    <w:rsid w:val="008763DD"/>
    <w:rsid w:val="008810D0"/>
    <w:rsid w:val="0088382C"/>
    <w:rsid w:val="00885EF4"/>
    <w:rsid w:val="008865C2"/>
    <w:rsid w:val="00886CBC"/>
    <w:rsid w:val="00892190"/>
    <w:rsid w:val="008953CE"/>
    <w:rsid w:val="0089648C"/>
    <w:rsid w:val="008A06A7"/>
    <w:rsid w:val="008A214E"/>
    <w:rsid w:val="008A3CFF"/>
    <w:rsid w:val="008A4718"/>
    <w:rsid w:val="008A63D5"/>
    <w:rsid w:val="008A645D"/>
    <w:rsid w:val="008A7234"/>
    <w:rsid w:val="008A7369"/>
    <w:rsid w:val="008B08DB"/>
    <w:rsid w:val="008B16FB"/>
    <w:rsid w:val="008B1758"/>
    <w:rsid w:val="008B30BD"/>
    <w:rsid w:val="008B6581"/>
    <w:rsid w:val="008B6BB4"/>
    <w:rsid w:val="008C29EE"/>
    <w:rsid w:val="008C2D22"/>
    <w:rsid w:val="008C2F96"/>
    <w:rsid w:val="008C4091"/>
    <w:rsid w:val="008C4BC4"/>
    <w:rsid w:val="008D1ADD"/>
    <w:rsid w:val="008D2CF0"/>
    <w:rsid w:val="008D36AC"/>
    <w:rsid w:val="008D5CCE"/>
    <w:rsid w:val="008D619F"/>
    <w:rsid w:val="008D7F4D"/>
    <w:rsid w:val="008E32E0"/>
    <w:rsid w:val="008E5813"/>
    <w:rsid w:val="008E5C89"/>
    <w:rsid w:val="008E69DD"/>
    <w:rsid w:val="008E7A1D"/>
    <w:rsid w:val="008E7DCB"/>
    <w:rsid w:val="008F39B3"/>
    <w:rsid w:val="00903C51"/>
    <w:rsid w:val="009041DA"/>
    <w:rsid w:val="00906DB8"/>
    <w:rsid w:val="0090747B"/>
    <w:rsid w:val="00907CDF"/>
    <w:rsid w:val="00911304"/>
    <w:rsid w:val="009116E1"/>
    <w:rsid w:val="00911786"/>
    <w:rsid w:val="009169F5"/>
    <w:rsid w:val="00917A8B"/>
    <w:rsid w:val="009205C1"/>
    <w:rsid w:val="00920B5E"/>
    <w:rsid w:val="0092169B"/>
    <w:rsid w:val="00921F94"/>
    <w:rsid w:val="0092352E"/>
    <w:rsid w:val="0092358D"/>
    <w:rsid w:val="00923A2F"/>
    <w:rsid w:val="0093035D"/>
    <w:rsid w:val="00931EF0"/>
    <w:rsid w:val="00932804"/>
    <w:rsid w:val="00933862"/>
    <w:rsid w:val="009338B9"/>
    <w:rsid w:val="00933A41"/>
    <w:rsid w:val="00933D58"/>
    <w:rsid w:val="00933F73"/>
    <w:rsid w:val="00934A3C"/>
    <w:rsid w:val="0093501A"/>
    <w:rsid w:val="00935F3F"/>
    <w:rsid w:val="009373B9"/>
    <w:rsid w:val="00941375"/>
    <w:rsid w:val="009445A0"/>
    <w:rsid w:val="00945AFB"/>
    <w:rsid w:val="00946462"/>
    <w:rsid w:val="00950F46"/>
    <w:rsid w:val="00951112"/>
    <w:rsid w:val="00951D9D"/>
    <w:rsid w:val="009528B6"/>
    <w:rsid w:val="00954FB7"/>
    <w:rsid w:val="0095585E"/>
    <w:rsid w:val="00956A20"/>
    <w:rsid w:val="00957597"/>
    <w:rsid w:val="009611EC"/>
    <w:rsid w:val="00961271"/>
    <w:rsid w:val="00963883"/>
    <w:rsid w:val="00963E5D"/>
    <w:rsid w:val="009669DA"/>
    <w:rsid w:val="009678F5"/>
    <w:rsid w:val="0097087F"/>
    <w:rsid w:val="009713F7"/>
    <w:rsid w:val="00974422"/>
    <w:rsid w:val="0097560F"/>
    <w:rsid w:val="00976B7E"/>
    <w:rsid w:val="00980E10"/>
    <w:rsid w:val="00980FA5"/>
    <w:rsid w:val="00983E5B"/>
    <w:rsid w:val="00986D56"/>
    <w:rsid w:val="0099022B"/>
    <w:rsid w:val="009918BA"/>
    <w:rsid w:val="00994062"/>
    <w:rsid w:val="009971AB"/>
    <w:rsid w:val="009A0FBD"/>
    <w:rsid w:val="009A1F52"/>
    <w:rsid w:val="009A22F8"/>
    <w:rsid w:val="009A4073"/>
    <w:rsid w:val="009A7B1E"/>
    <w:rsid w:val="009B0190"/>
    <w:rsid w:val="009B1770"/>
    <w:rsid w:val="009B1E33"/>
    <w:rsid w:val="009B3269"/>
    <w:rsid w:val="009B6119"/>
    <w:rsid w:val="009B7EA9"/>
    <w:rsid w:val="009C1F12"/>
    <w:rsid w:val="009C3B70"/>
    <w:rsid w:val="009C7E4F"/>
    <w:rsid w:val="009D08BC"/>
    <w:rsid w:val="009D1777"/>
    <w:rsid w:val="009D2572"/>
    <w:rsid w:val="009D3468"/>
    <w:rsid w:val="009D420C"/>
    <w:rsid w:val="009D44C3"/>
    <w:rsid w:val="009D7DDB"/>
    <w:rsid w:val="009E127D"/>
    <w:rsid w:val="009E29D1"/>
    <w:rsid w:val="009E3390"/>
    <w:rsid w:val="009E3CD1"/>
    <w:rsid w:val="009E6220"/>
    <w:rsid w:val="009E668F"/>
    <w:rsid w:val="009E6CF4"/>
    <w:rsid w:val="009F589C"/>
    <w:rsid w:val="009F6781"/>
    <w:rsid w:val="009F79CB"/>
    <w:rsid w:val="00A05A31"/>
    <w:rsid w:val="00A06B6D"/>
    <w:rsid w:val="00A13B9D"/>
    <w:rsid w:val="00A13C89"/>
    <w:rsid w:val="00A1487A"/>
    <w:rsid w:val="00A17033"/>
    <w:rsid w:val="00A2215F"/>
    <w:rsid w:val="00A22798"/>
    <w:rsid w:val="00A22CBA"/>
    <w:rsid w:val="00A24AA7"/>
    <w:rsid w:val="00A26C48"/>
    <w:rsid w:val="00A26FB1"/>
    <w:rsid w:val="00A276D2"/>
    <w:rsid w:val="00A30098"/>
    <w:rsid w:val="00A312AF"/>
    <w:rsid w:val="00A320FD"/>
    <w:rsid w:val="00A324DA"/>
    <w:rsid w:val="00A33934"/>
    <w:rsid w:val="00A349C4"/>
    <w:rsid w:val="00A358DD"/>
    <w:rsid w:val="00A35E73"/>
    <w:rsid w:val="00A430C5"/>
    <w:rsid w:val="00A4717C"/>
    <w:rsid w:val="00A51DBB"/>
    <w:rsid w:val="00A536C1"/>
    <w:rsid w:val="00A53798"/>
    <w:rsid w:val="00A54C13"/>
    <w:rsid w:val="00A5655B"/>
    <w:rsid w:val="00A610D1"/>
    <w:rsid w:val="00A62F42"/>
    <w:rsid w:val="00A63A09"/>
    <w:rsid w:val="00A64747"/>
    <w:rsid w:val="00A64BF4"/>
    <w:rsid w:val="00A662C4"/>
    <w:rsid w:val="00A7148B"/>
    <w:rsid w:val="00A74D31"/>
    <w:rsid w:val="00A75BD8"/>
    <w:rsid w:val="00A80392"/>
    <w:rsid w:val="00A84FC2"/>
    <w:rsid w:val="00A857F3"/>
    <w:rsid w:val="00A87783"/>
    <w:rsid w:val="00A90106"/>
    <w:rsid w:val="00A908C9"/>
    <w:rsid w:val="00A933D2"/>
    <w:rsid w:val="00A94068"/>
    <w:rsid w:val="00A96E96"/>
    <w:rsid w:val="00A96EF6"/>
    <w:rsid w:val="00A97C8A"/>
    <w:rsid w:val="00AA2DC4"/>
    <w:rsid w:val="00AA4B4F"/>
    <w:rsid w:val="00AA5BAA"/>
    <w:rsid w:val="00AB0FD9"/>
    <w:rsid w:val="00AB1B45"/>
    <w:rsid w:val="00AB20AE"/>
    <w:rsid w:val="00AB36CC"/>
    <w:rsid w:val="00AB74D6"/>
    <w:rsid w:val="00AB7D7F"/>
    <w:rsid w:val="00AC149C"/>
    <w:rsid w:val="00AC190F"/>
    <w:rsid w:val="00AC3E06"/>
    <w:rsid w:val="00AD08C3"/>
    <w:rsid w:val="00AD1C9E"/>
    <w:rsid w:val="00AD3F35"/>
    <w:rsid w:val="00AD4731"/>
    <w:rsid w:val="00AD4AFD"/>
    <w:rsid w:val="00AD4B8B"/>
    <w:rsid w:val="00AD5FEA"/>
    <w:rsid w:val="00AD6677"/>
    <w:rsid w:val="00AD6A15"/>
    <w:rsid w:val="00AE01B4"/>
    <w:rsid w:val="00AE3AFC"/>
    <w:rsid w:val="00AE403E"/>
    <w:rsid w:val="00AE51F2"/>
    <w:rsid w:val="00AF52A5"/>
    <w:rsid w:val="00AF5508"/>
    <w:rsid w:val="00AF5688"/>
    <w:rsid w:val="00AF5D66"/>
    <w:rsid w:val="00AF5FC4"/>
    <w:rsid w:val="00B00585"/>
    <w:rsid w:val="00B01E67"/>
    <w:rsid w:val="00B04137"/>
    <w:rsid w:val="00B04E4E"/>
    <w:rsid w:val="00B07CFB"/>
    <w:rsid w:val="00B100E4"/>
    <w:rsid w:val="00B13274"/>
    <w:rsid w:val="00B13CFB"/>
    <w:rsid w:val="00B162DF"/>
    <w:rsid w:val="00B17126"/>
    <w:rsid w:val="00B177A1"/>
    <w:rsid w:val="00B20969"/>
    <w:rsid w:val="00B21843"/>
    <w:rsid w:val="00B21902"/>
    <w:rsid w:val="00B21BBE"/>
    <w:rsid w:val="00B22BA9"/>
    <w:rsid w:val="00B22D99"/>
    <w:rsid w:val="00B23C21"/>
    <w:rsid w:val="00B2486C"/>
    <w:rsid w:val="00B24AE3"/>
    <w:rsid w:val="00B24D1C"/>
    <w:rsid w:val="00B26883"/>
    <w:rsid w:val="00B31BC0"/>
    <w:rsid w:val="00B33639"/>
    <w:rsid w:val="00B33CAA"/>
    <w:rsid w:val="00B36E7B"/>
    <w:rsid w:val="00B438FC"/>
    <w:rsid w:val="00B43984"/>
    <w:rsid w:val="00B4414B"/>
    <w:rsid w:val="00B44AE7"/>
    <w:rsid w:val="00B45B08"/>
    <w:rsid w:val="00B47309"/>
    <w:rsid w:val="00B475B7"/>
    <w:rsid w:val="00B504FF"/>
    <w:rsid w:val="00B50DB1"/>
    <w:rsid w:val="00B51242"/>
    <w:rsid w:val="00B524B5"/>
    <w:rsid w:val="00B556B0"/>
    <w:rsid w:val="00B5590B"/>
    <w:rsid w:val="00B600C6"/>
    <w:rsid w:val="00B60D6F"/>
    <w:rsid w:val="00B61B69"/>
    <w:rsid w:val="00B624A0"/>
    <w:rsid w:val="00B62C16"/>
    <w:rsid w:val="00B6492E"/>
    <w:rsid w:val="00B66053"/>
    <w:rsid w:val="00B74AE9"/>
    <w:rsid w:val="00B75ABF"/>
    <w:rsid w:val="00B80B39"/>
    <w:rsid w:val="00B810DC"/>
    <w:rsid w:val="00B81883"/>
    <w:rsid w:val="00B82EE8"/>
    <w:rsid w:val="00B857EF"/>
    <w:rsid w:val="00B867E6"/>
    <w:rsid w:val="00B90BFC"/>
    <w:rsid w:val="00B9384D"/>
    <w:rsid w:val="00B9699F"/>
    <w:rsid w:val="00B96F83"/>
    <w:rsid w:val="00BA15B4"/>
    <w:rsid w:val="00BA23AA"/>
    <w:rsid w:val="00BA7EE3"/>
    <w:rsid w:val="00BA7EE7"/>
    <w:rsid w:val="00BB01BE"/>
    <w:rsid w:val="00BB0424"/>
    <w:rsid w:val="00BB0FF3"/>
    <w:rsid w:val="00BB13F9"/>
    <w:rsid w:val="00BB4EED"/>
    <w:rsid w:val="00BB5919"/>
    <w:rsid w:val="00BB6055"/>
    <w:rsid w:val="00BC0AE9"/>
    <w:rsid w:val="00BC1F6F"/>
    <w:rsid w:val="00BC7040"/>
    <w:rsid w:val="00BD0082"/>
    <w:rsid w:val="00BD0810"/>
    <w:rsid w:val="00BD3BBA"/>
    <w:rsid w:val="00BD5F3F"/>
    <w:rsid w:val="00BE0581"/>
    <w:rsid w:val="00BE19E7"/>
    <w:rsid w:val="00BE1AE4"/>
    <w:rsid w:val="00BE1FEC"/>
    <w:rsid w:val="00BE2050"/>
    <w:rsid w:val="00BE233E"/>
    <w:rsid w:val="00BE5AF1"/>
    <w:rsid w:val="00BE6F20"/>
    <w:rsid w:val="00BF0D15"/>
    <w:rsid w:val="00BF11A0"/>
    <w:rsid w:val="00BF1BBD"/>
    <w:rsid w:val="00BF4B0E"/>
    <w:rsid w:val="00BF5198"/>
    <w:rsid w:val="00BF550C"/>
    <w:rsid w:val="00BF58E6"/>
    <w:rsid w:val="00BF64FB"/>
    <w:rsid w:val="00BF7429"/>
    <w:rsid w:val="00C03174"/>
    <w:rsid w:val="00C068BC"/>
    <w:rsid w:val="00C07410"/>
    <w:rsid w:val="00C07974"/>
    <w:rsid w:val="00C129E6"/>
    <w:rsid w:val="00C17AD0"/>
    <w:rsid w:val="00C17B38"/>
    <w:rsid w:val="00C17B81"/>
    <w:rsid w:val="00C2078E"/>
    <w:rsid w:val="00C236E0"/>
    <w:rsid w:val="00C26A4C"/>
    <w:rsid w:val="00C3099E"/>
    <w:rsid w:val="00C309F4"/>
    <w:rsid w:val="00C30E9A"/>
    <w:rsid w:val="00C31492"/>
    <w:rsid w:val="00C31618"/>
    <w:rsid w:val="00C31A6E"/>
    <w:rsid w:val="00C324F4"/>
    <w:rsid w:val="00C3345D"/>
    <w:rsid w:val="00C33B8B"/>
    <w:rsid w:val="00C34B30"/>
    <w:rsid w:val="00C34E41"/>
    <w:rsid w:val="00C35D01"/>
    <w:rsid w:val="00C362A2"/>
    <w:rsid w:val="00C37C13"/>
    <w:rsid w:val="00C40001"/>
    <w:rsid w:val="00C406F3"/>
    <w:rsid w:val="00C4094F"/>
    <w:rsid w:val="00C41371"/>
    <w:rsid w:val="00C42B73"/>
    <w:rsid w:val="00C42C7A"/>
    <w:rsid w:val="00C46740"/>
    <w:rsid w:val="00C47CC2"/>
    <w:rsid w:val="00C47E76"/>
    <w:rsid w:val="00C51031"/>
    <w:rsid w:val="00C517B9"/>
    <w:rsid w:val="00C52EE2"/>
    <w:rsid w:val="00C60721"/>
    <w:rsid w:val="00C62089"/>
    <w:rsid w:val="00C628C8"/>
    <w:rsid w:val="00C64DFD"/>
    <w:rsid w:val="00C664C6"/>
    <w:rsid w:val="00C670EB"/>
    <w:rsid w:val="00C673D5"/>
    <w:rsid w:val="00C67FBF"/>
    <w:rsid w:val="00C71309"/>
    <w:rsid w:val="00C73145"/>
    <w:rsid w:val="00C73A64"/>
    <w:rsid w:val="00C73D49"/>
    <w:rsid w:val="00C7435E"/>
    <w:rsid w:val="00C77913"/>
    <w:rsid w:val="00C806AE"/>
    <w:rsid w:val="00C81DDC"/>
    <w:rsid w:val="00C8360E"/>
    <w:rsid w:val="00C85243"/>
    <w:rsid w:val="00C86600"/>
    <w:rsid w:val="00C86B7C"/>
    <w:rsid w:val="00C87531"/>
    <w:rsid w:val="00C902ED"/>
    <w:rsid w:val="00C90879"/>
    <w:rsid w:val="00C9129C"/>
    <w:rsid w:val="00C91360"/>
    <w:rsid w:val="00C92A86"/>
    <w:rsid w:val="00C9354D"/>
    <w:rsid w:val="00C93987"/>
    <w:rsid w:val="00C946DB"/>
    <w:rsid w:val="00C954DC"/>
    <w:rsid w:val="00C95836"/>
    <w:rsid w:val="00C96A39"/>
    <w:rsid w:val="00CA034D"/>
    <w:rsid w:val="00CA0EF8"/>
    <w:rsid w:val="00CA1AF0"/>
    <w:rsid w:val="00CA41BB"/>
    <w:rsid w:val="00CA56A5"/>
    <w:rsid w:val="00CA6DC8"/>
    <w:rsid w:val="00CB0106"/>
    <w:rsid w:val="00CB0DFE"/>
    <w:rsid w:val="00CB4870"/>
    <w:rsid w:val="00CB4B86"/>
    <w:rsid w:val="00CB4EA7"/>
    <w:rsid w:val="00CB56C1"/>
    <w:rsid w:val="00CC27C6"/>
    <w:rsid w:val="00CC2DC5"/>
    <w:rsid w:val="00CC4F49"/>
    <w:rsid w:val="00CC546C"/>
    <w:rsid w:val="00CC7049"/>
    <w:rsid w:val="00CD093E"/>
    <w:rsid w:val="00CD1D24"/>
    <w:rsid w:val="00CD2EA6"/>
    <w:rsid w:val="00CD3573"/>
    <w:rsid w:val="00CD61DE"/>
    <w:rsid w:val="00CE1A30"/>
    <w:rsid w:val="00CE4459"/>
    <w:rsid w:val="00CE6AD4"/>
    <w:rsid w:val="00CF1445"/>
    <w:rsid w:val="00CF16FA"/>
    <w:rsid w:val="00CF21F2"/>
    <w:rsid w:val="00CF5746"/>
    <w:rsid w:val="00CF61AC"/>
    <w:rsid w:val="00CF6756"/>
    <w:rsid w:val="00CF676A"/>
    <w:rsid w:val="00CF762F"/>
    <w:rsid w:val="00D00E0C"/>
    <w:rsid w:val="00D01E22"/>
    <w:rsid w:val="00D02F3B"/>
    <w:rsid w:val="00D02F8E"/>
    <w:rsid w:val="00D03081"/>
    <w:rsid w:val="00D03B94"/>
    <w:rsid w:val="00D057C6"/>
    <w:rsid w:val="00D05AD5"/>
    <w:rsid w:val="00D125A9"/>
    <w:rsid w:val="00D22507"/>
    <w:rsid w:val="00D22B6A"/>
    <w:rsid w:val="00D25618"/>
    <w:rsid w:val="00D269A3"/>
    <w:rsid w:val="00D273B6"/>
    <w:rsid w:val="00D313C8"/>
    <w:rsid w:val="00D31753"/>
    <w:rsid w:val="00D34286"/>
    <w:rsid w:val="00D357DA"/>
    <w:rsid w:val="00D377DD"/>
    <w:rsid w:val="00D37FD6"/>
    <w:rsid w:val="00D412AD"/>
    <w:rsid w:val="00D430AE"/>
    <w:rsid w:val="00D44450"/>
    <w:rsid w:val="00D51438"/>
    <w:rsid w:val="00D52A20"/>
    <w:rsid w:val="00D545B5"/>
    <w:rsid w:val="00D55A60"/>
    <w:rsid w:val="00D61A5F"/>
    <w:rsid w:val="00D64066"/>
    <w:rsid w:val="00D65FD9"/>
    <w:rsid w:val="00D672BA"/>
    <w:rsid w:val="00D70A5F"/>
    <w:rsid w:val="00D7147B"/>
    <w:rsid w:val="00D7222B"/>
    <w:rsid w:val="00D75084"/>
    <w:rsid w:val="00D81FEF"/>
    <w:rsid w:val="00D84158"/>
    <w:rsid w:val="00D85B96"/>
    <w:rsid w:val="00D86012"/>
    <w:rsid w:val="00D91079"/>
    <w:rsid w:val="00D91406"/>
    <w:rsid w:val="00D9195F"/>
    <w:rsid w:val="00D9366A"/>
    <w:rsid w:val="00D96C6F"/>
    <w:rsid w:val="00D9781A"/>
    <w:rsid w:val="00DA1845"/>
    <w:rsid w:val="00DA256F"/>
    <w:rsid w:val="00DA405B"/>
    <w:rsid w:val="00DA45A3"/>
    <w:rsid w:val="00DA612B"/>
    <w:rsid w:val="00DA62DB"/>
    <w:rsid w:val="00DB11AE"/>
    <w:rsid w:val="00DB1414"/>
    <w:rsid w:val="00DB3AE2"/>
    <w:rsid w:val="00DB48DE"/>
    <w:rsid w:val="00DB50B0"/>
    <w:rsid w:val="00DB517C"/>
    <w:rsid w:val="00DB6484"/>
    <w:rsid w:val="00DC09E9"/>
    <w:rsid w:val="00DC3438"/>
    <w:rsid w:val="00DC4D54"/>
    <w:rsid w:val="00DC5FF8"/>
    <w:rsid w:val="00DC64D9"/>
    <w:rsid w:val="00DD23A7"/>
    <w:rsid w:val="00DD354D"/>
    <w:rsid w:val="00DD488C"/>
    <w:rsid w:val="00DE1037"/>
    <w:rsid w:val="00DE270B"/>
    <w:rsid w:val="00DE3034"/>
    <w:rsid w:val="00DE5668"/>
    <w:rsid w:val="00DE5F1D"/>
    <w:rsid w:val="00DE5F87"/>
    <w:rsid w:val="00DE7423"/>
    <w:rsid w:val="00DF122F"/>
    <w:rsid w:val="00DF345C"/>
    <w:rsid w:val="00DF49E0"/>
    <w:rsid w:val="00E00000"/>
    <w:rsid w:val="00E0076E"/>
    <w:rsid w:val="00E00EA2"/>
    <w:rsid w:val="00E02EAE"/>
    <w:rsid w:val="00E04F92"/>
    <w:rsid w:val="00E05112"/>
    <w:rsid w:val="00E06900"/>
    <w:rsid w:val="00E1005F"/>
    <w:rsid w:val="00E104BB"/>
    <w:rsid w:val="00E128BC"/>
    <w:rsid w:val="00E145E1"/>
    <w:rsid w:val="00E1501F"/>
    <w:rsid w:val="00E1703D"/>
    <w:rsid w:val="00E229AB"/>
    <w:rsid w:val="00E23DCE"/>
    <w:rsid w:val="00E249F2"/>
    <w:rsid w:val="00E24EED"/>
    <w:rsid w:val="00E255C0"/>
    <w:rsid w:val="00E25C3C"/>
    <w:rsid w:val="00E27B9D"/>
    <w:rsid w:val="00E33747"/>
    <w:rsid w:val="00E34ABA"/>
    <w:rsid w:val="00E404EA"/>
    <w:rsid w:val="00E4154D"/>
    <w:rsid w:val="00E42AB6"/>
    <w:rsid w:val="00E43C11"/>
    <w:rsid w:val="00E45325"/>
    <w:rsid w:val="00E522F5"/>
    <w:rsid w:val="00E52EC3"/>
    <w:rsid w:val="00E5517F"/>
    <w:rsid w:val="00E55FA9"/>
    <w:rsid w:val="00E5772C"/>
    <w:rsid w:val="00E57B7C"/>
    <w:rsid w:val="00E600B8"/>
    <w:rsid w:val="00E61610"/>
    <w:rsid w:val="00E646B6"/>
    <w:rsid w:val="00E64B9A"/>
    <w:rsid w:val="00E7110C"/>
    <w:rsid w:val="00E721D5"/>
    <w:rsid w:val="00E75D68"/>
    <w:rsid w:val="00E75DF7"/>
    <w:rsid w:val="00E76AB2"/>
    <w:rsid w:val="00E76CDF"/>
    <w:rsid w:val="00E81D5C"/>
    <w:rsid w:val="00E83CF3"/>
    <w:rsid w:val="00E87D8C"/>
    <w:rsid w:val="00E9107D"/>
    <w:rsid w:val="00E92A76"/>
    <w:rsid w:val="00E93F81"/>
    <w:rsid w:val="00E9641B"/>
    <w:rsid w:val="00EA1E39"/>
    <w:rsid w:val="00EA3586"/>
    <w:rsid w:val="00EA5158"/>
    <w:rsid w:val="00EA6C14"/>
    <w:rsid w:val="00EB00EC"/>
    <w:rsid w:val="00EB0ED9"/>
    <w:rsid w:val="00EB11CD"/>
    <w:rsid w:val="00EB14F5"/>
    <w:rsid w:val="00EB3950"/>
    <w:rsid w:val="00EB4280"/>
    <w:rsid w:val="00EB697D"/>
    <w:rsid w:val="00EC09A6"/>
    <w:rsid w:val="00EC1CDF"/>
    <w:rsid w:val="00EC44AA"/>
    <w:rsid w:val="00EC764C"/>
    <w:rsid w:val="00ED0B57"/>
    <w:rsid w:val="00ED3927"/>
    <w:rsid w:val="00ED551A"/>
    <w:rsid w:val="00EE0C40"/>
    <w:rsid w:val="00EE79CC"/>
    <w:rsid w:val="00EF023E"/>
    <w:rsid w:val="00EF0479"/>
    <w:rsid w:val="00EF16C2"/>
    <w:rsid w:val="00EF2A0F"/>
    <w:rsid w:val="00EF5448"/>
    <w:rsid w:val="00EF6F06"/>
    <w:rsid w:val="00F00441"/>
    <w:rsid w:val="00F01B5A"/>
    <w:rsid w:val="00F03D2D"/>
    <w:rsid w:val="00F0443E"/>
    <w:rsid w:val="00F049C7"/>
    <w:rsid w:val="00F07049"/>
    <w:rsid w:val="00F1058A"/>
    <w:rsid w:val="00F1141F"/>
    <w:rsid w:val="00F11F6C"/>
    <w:rsid w:val="00F16F9D"/>
    <w:rsid w:val="00F20B13"/>
    <w:rsid w:val="00F21369"/>
    <w:rsid w:val="00F220F1"/>
    <w:rsid w:val="00F223A9"/>
    <w:rsid w:val="00F24FC4"/>
    <w:rsid w:val="00F2637B"/>
    <w:rsid w:val="00F26F77"/>
    <w:rsid w:val="00F27448"/>
    <w:rsid w:val="00F35305"/>
    <w:rsid w:val="00F35DEC"/>
    <w:rsid w:val="00F3742E"/>
    <w:rsid w:val="00F37F7C"/>
    <w:rsid w:val="00F40305"/>
    <w:rsid w:val="00F40E86"/>
    <w:rsid w:val="00F41703"/>
    <w:rsid w:val="00F4376D"/>
    <w:rsid w:val="00F449CE"/>
    <w:rsid w:val="00F44FDF"/>
    <w:rsid w:val="00F45B18"/>
    <w:rsid w:val="00F45FD8"/>
    <w:rsid w:val="00F47E97"/>
    <w:rsid w:val="00F504B6"/>
    <w:rsid w:val="00F50956"/>
    <w:rsid w:val="00F50FF9"/>
    <w:rsid w:val="00F512A4"/>
    <w:rsid w:val="00F51F01"/>
    <w:rsid w:val="00F522C2"/>
    <w:rsid w:val="00F54C1C"/>
    <w:rsid w:val="00F54FB3"/>
    <w:rsid w:val="00F56041"/>
    <w:rsid w:val="00F56505"/>
    <w:rsid w:val="00F61741"/>
    <w:rsid w:val="00F62A1C"/>
    <w:rsid w:val="00F652CA"/>
    <w:rsid w:val="00F72728"/>
    <w:rsid w:val="00F73B35"/>
    <w:rsid w:val="00F741EE"/>
    <w:rsid w:val="00F751DE"/>
    <w:rsid w:val="00F7545E"/>
    <w:rsid w:val="00F7733D"/>
    <w:rsid w:val="00F809BB"/>
    <w:rsid w:val="00F8137A"/>
    <w:rsid w:val="00F8187D"/>
    <w:rsid w:val="00F81E5D"/>
    <w:rsid w:val="00F81E7E"/>
    <w:rsid w:val="00F82D28"/>
    <w:rsid w:val="00F84169"/>
    <w:rsid w:val="00F85658"/>
    <w:rsid w:val="00F86565"/>
    <w:rsid w:val="00F86B23"/>
    <w:rsid w:val="00F9013C"/>
    <w:rsid w:val="00F93C52"/>
    <w:rsid w:val="00F940E3"/>
    <w:rsid w:val="00F95A17"/>
    <w:rsid w:val="00F96D1A"/>
    <w:rsid w:val="00F97F31"/>
    <w:rsid w:val="00FA664C"/>
    <w:rsid w:val="00FA7E66"/>
    <w:rsid w:val="00FB1AA9"/>
    <w:rsid w:val="00FB3843"/>
    <w:rsid w:val="00FB4A80"/>
    <w:rsid w:val="00FB510A"/>
    <w:rsid w:val="00FB5553"/>
    <w:rsid w:val="00FB7E69"/>
    <w:rsid w:val="00FC193B"/>
    <w:rsid w:val="00FC1A73"/>
    <w:rsid w:val="00FC2627"/>
    <w:rsid w:val="00FC3610"/>
    <w:rsid w:val="00FC374A"/>
    <w:rsid w:val="00FC4FF4"/>
    <w:rsid w:val="00FC63EC"/>
    <w:rsid w:val="00FD084D"/>
    <w:rsid w:val="00FD097A"/>
    <w:rsid w:val="00FD0E0D"/>
    <w:rsid w:val="00FD0E21"/>
    <w:rsid w:val="00FD16AE"/>
    <w:rsid w:val="00FD1C5D"/>
    <w:rsid w:val="00FD3D37"/>
    <w:rsid w:val="00FD7751"/>
    <w:rsid w:val="00FE0B95"/>
    <w:rsid w:val="00FE35F7"/>
    <w:rsid w:val="00FE494B"/>
    <w:rsid w:val="00FE57C9"/>
    <w:rsid w:val="00FF0315"/>
    <w:rsid w:val="00FF0331"/>
    <w:rsid w:val="00FF1BD0"/>
    <w:rsid w:val="00FF3356"/>
    <w:rsid w:val="00FF33FB"/>
    <w:rsid w:val="00FF77F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6A67AAF"/>
  <w15:docId w15:val="{8AE3E60D-5BE1-4B63-96D0-9FB2890650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19DE"/>
    <w:pPr>
      <w:spacing w:after="120"/>
      <w:jc w:val="both"/>
    </w:pPr>
    <w:rPr>
      <w:rFonts w:ascii="Arial" w:hAnsi="Arial"/>
      <w:szCs w:val="24"/>
    </w:rPr>
  </w:style>
  <w:style w:type="paragraph" w:styleId="Heading1">
    <w:name w:val="heading 1"/>
    <w:aliases w:val="h1,Para1,Top 1,ParaLevel1,Level 1 Para,Level 1 Para1,Level 1 Para2,Level 1 Para3,Level 1 Para4,Level 1 Para11,Level 1 Para21,Level 1 Para31,Level 1 Para5,Level 1 Para12,Level 1 Para22,Level 1 Para32,Level 1 Para6,Level 1 Para13,Level 1 Para23"/>
    <w:basedOn w:val="Normal"/>
    <w:next w:val="Normal"/>
    <w:link w:val="Heading1Char"/>
    <w:qFormat/>
    <w:rsid w:val="006F19DE"/>
    <w:pPr>
      <w:keepNext/>
      <w:spacing w:before="240" w:after="60"/>
      <w:outlineLvl w:val="0"/>
    </w:pPr>
    <w:rPr>
      <w:rFonts w:ascii="Georgia" w:hAnsi="Georgia" w:cs="Arial"/>
      <w:b/>
      <w:bCs/>
      <w:color w:val="CF4520"/>
      <w:kern w:val="32"/>
      <w:sz w:val="32"/>
      <w:szCs w:val="32"/>
    </w:rPr>
  </w:style>
  <w:style w:type="paragraph" w:styleId="Heading2">
    <w:name w:val="heading 2"/>
    <w:aliases w:val="h2,Para2,Head hdbk,Top 2,H2,h2 main heading,B Sub/Bold,B Sub/Bold1,B Sub/Bold2,B Sub/Bold11,h2 main heading1,h2 main heading2,B Sub/Bold3,B Sub/Bold12,h2 main heading3,B Sub/Bold4,B Sub/Bold13,SubPara,2 headline,h,sub,Para 2,a.,a.1,a.2,body,1."/>
    <w:basedOn w:val="Normal"/>
    <w:next w:val="Normal"/>
    <w:link w:val="Heading2Char"/>
    <w:unhideWhenUsed/>
    <w:qFormat/>
    <w:rsid w:val="006F19DE"/>
    <w:pPr>
      <w:keepNext/>
      <w:keepLines/>
      <w:spacing w:before="200" w:after="0"/>
      <w:outlineLvl w:val="1"/>
    </w:pPr>
    <w:rPr>
      <w:rFonts w:ascii="Georgia" w:hAnsi="Georgia"/>
      <w:b/>
      <w:bCs/>
      <w:color w:val="CF4520"/>
      <w:sz w:val="26"/>
      <w:szCs w:val="26"/>
    </w:rPr>
  </w:style>
  <w:style w:type="paragraph" w:styleId="Heading3">
    <w:name w:val="heading 3"/>
    <w:aliases w:val="Para3,head3hdbk,H3,C Sub-Sub/Italic,h3 sub heading,Head 3,Head 31,Head 32,C Sub-Sub/Italic1,3,Sub2Para,(1),Major Sections,subsub,Para 3,h3"/>
    <w:basedOn w:val="Normal"/>
    <w:next w:val="Normal"/>
    <w:link w:val="Heading3Char"/>
    <w:uiPriority w:val="9"/>
    <w:qFormat/>
    <w:rsid w:val="00B21843"/>
    <w:pPr>
      <w:keepNext/>
      <w:keepLines/>
      <w:numPr>
        <w:ilvl w:val="2"/>
        <w:numId w:val="3"/>
      </w:numPr>
      <w:spacing w:before="200" w:after="0"/>
      <w:outlineLvl w:val="2"/>
    </w:pPr>
    <w:rPr>
      <w:rFonts w:ascii="Times New Roman" w:hAnsi="Times New Roman"/>
      <w:b/>
      <w:bCs/>
    </w:rPr>
  </w:style>
  <w:style w:type="paragraph" w:styleId="Heading4">
    <w:name w:val="heading 4"/>
    <w:aliases w:val="Para4,headhbk,(a),h4"/>
    <w:basedOn w:val="Normal"/>
    <w:next w:val="Normal"/>
    <w:link w:val="Heading4Char"/>
    <w:uiPriority w:val="9"/>
    <w:qFormat/>
    <w:rsid w:val="00B21843"/>
    <w:pPr>
      <w:keepNext/>
      <w:keepLines/>
      <w:numPr>
        <w:ilvl w:val="3"/>
        <w:numId w:val="3"/>
      </w:numPr>
      <w:spacing w:before="200" w:after="0"/>
      <w:outlineLvl w:val="3"/>
    </w:pPr>
    <w:rPr>
      <w:rFonts w:ascii="Times New Roman" w:hAnsi="Times New Roman"/>
      <w:b/>
      <w:bCs/>
      <w:iCs/>
    </w:rPr>
  </w:style>
  <w:style w:type="paragraph" w:styleId="Heading5">
    <w:name w:val="heading 5"/>
    <w:aliases w:val="Para5,i.,H,subsubpara,1.1.1.1.1"/>
    <w:basedOn w:val="Normal"/>
    <w:next w:val="Normal"/>
    <w:link w:val="Heading5Char"/>
    <w:qFormat/>
    <w:rsid w:val="00B21843"/>
    <w:pPr>
      <w:numPr>
        <w:ilvl w:val="4"/>
        <w:numId w:val="3"/>
      </w:numPr>
      <w:spacing w:before="240" w:after="60"/>
      <w:outlineLvl w:val="4"/>
    </w:pPr>
    <w:rPr>
      <w:b/>
      <w:bCs/>
      <w:iCs/>
      <w:szCs w:val="26"/>
    </w:rPr>
  </w:style>
  <w:style w:type="paragraph" w:styleId="Heading6">
    <w:name w:val="heading 6"/>
    <w:aliases w:val="sub-dash,sd,5,Spare2"/>
    <w:basedOn w:val="Normal"/>
    <w:next w:val="Normal"/>
    <w:link w:val="Heading6Char"/>
    <w:qFormat/>
    <w:rsid w:val="00B21843"/>
    <w:pPr>
      <w:numPr>
        <w:ilvl w:val="5"/>
        <w:numId w:val="3"/>
      </w:numPr>
      <w:spacing w:before="240" w:after="60"/>
      <w:outlineLvl w:val="5"/>
    </w:pPr>
    <w:rPr>
      <w:rFonts w:ascii="Times New Roman" w:hAnsi="Times New Roman"/>
      <w:b/>
      <w:bCs/>
    </w:rPr>
  </w:style>
  <w:style w:type="paragraph" w:styleId="Heading7">
    <w:name w:val="heading 7"/>
    <w:aliases w:val="Spare3,h7,H7,Legal Level 1.1.,7,Heading 7 Char,Response Alpha,Response Numeral,Heading 7 Char1 Char1,Heading 7 Char Char Char1,Heading 7 Char1 Char1 Char Char Char1,Heading 7 Char Char Char1 Char Char Char1"/>
    <w:basedOn w:val="Normal"/>
    <w:next w:val="Normal"/>
    <w:link w:val="Heading7Char1"/>
    <w:qFormat/>
    <w:rsid w:val="00B21843"/>
    <w:pPr>
      <w:numPr>
        <w:ilvl w:val="6"/>
        <w:numId w:val="3"/>
      </w:numPr>
      <w:spacing w:before="240" w:after="60"/>
      <w:outlineLvl w:val="6"/>
    </w:pPr>
    <w:rPr>
      <w:rFonts w:ascii="Times New Roman" w:hAnsi="Times New Roman"/>
      <w:sz w:val="24"/>
    </w:rPr>
  </w:style>
  <w:style w:type="paragraph" w:styleId="Heading8">
    <w:name w:val="heading 8"/>
    <w:aliases w:val="Spare4"/>
    <w:basedOn w:val="Normal"/>
    <w:next w:val="Normal"/>
    <w:link w:val="Heading8Char"/>
    <w:qFormat/>
    <w:rsid w:val="00B21843"/>
    <w:pPr>
      <w:numPr>
        <w:ilvl w:val="7"/>
        <w:numId w:val="3"/>
      </w:numPr>
      <w:spacing w:before="240" w:after="60"/>
      <w:outlineLvl w:val="7"/>
    </w:pPr>
    <w:rPr>
      <w:rFonts w:ascii="Times New Roman" w:hAnsi="Times New Roman"/>
      <w:i/>
      <w:iCs/>
      <w:sz w:val="24"/>
    </w:rPr>
  </w:style>
  <w:style w:type="paragraph" w:styleId="Heading9">
    <w:name w:val="heading 9"/>
    <w:aliases w:val="Spare5"/>
    <w:basedOn w:val="Normal"/>
    <w:next w:val="Normal"/>
    <w:link w:val="Heading9Char"/>
    <w:qFormat/>
    <w:rsid w:val="00B21843"/>
    <w:pPr>
      <w:numPr>
        <w:ilvl w:val="8"/>
        <w:numId w:val="3"/>
      </w:numPr>
      <w:spacing w:before="240" w:after="60"/>
      <w:outlineLvl w:val="8"/>
    </w:pPr>
    <w:rPr>
      <w:rFonts w:cs="Arial"/>
    </w:rPr>
  </w:style>
  <w:style w:type="character" w:default="1" w:styleId="DefaultParagraphFont">
    <w:name w:val="Default Paragraph Font"/>
    <w:uiPriority w:val="1"/>
    <w:semiHidden/>
    <w:unhideWhenUsed/>
    <w:rsid w:val="006F19D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F19DE"/>
  </w:style>
  <w:style w:type="character" w:customStyle="1" w:styleId="Heading1Char">
    <w:name w:val="Heading 1 Char"/>
    <w:aliases w:val="h1 Char1,Para1 Char1,Top 1 Char1,ParaLevel1 Char1,Level 1 Para Char1,Level 1 Para1 Char1,Level 1 Para2 Char1,Level 1 Para3 Char1,Level 1 Para4 Char1,Level 1 Para11 Char1,Level 1 Para21 Char1,Level 1 Para31 Char1,Level 1 Para5 Char1"/>
    <w:link w:val="Heading1"/>
    <w:locked/>
    <w:rsid w:val="006F19DE"/>
    <w:rPr>
      <w:rFonts w:ascii="Georgia" w:hAnsi="Georgia" w:cs="Arial"/>
      <w:b/>
      <w:bCs/>
      <w:color w:val="CF4520"/>
      <w:kern w:val="32"/>
      <w:sz w:val="32"/>
      <w:szCs w:val="32"/>
    </w:rPr>
  </w:style>
  <w:style w:type="character" w:customStyle="1" w:styleId="Heading2Char">
    <w:name w:val="Heading 2 Char"/>
    <w:aliases w:val="h2 Char,Para2 Char,Head hdbk Char,Top 2 Char,H2 Char,h2 main heading Char,B Sub/Bold Char,B Sub/Bold1 Char,B Sub/Bold2 Char,B Sub/Bold11 Char,h2 main heading1 Char,h2 main heading2 Char,B Sub/Bold3 Char,B Sub/Bold12 Char,B Sub/Bold4 Char"/>
    <w:link w:val="Heading2"/>
    <w:locked/>
    <w:rsid w:val="006F19DE"/>
    <w:rPr>
      <w:rFonts w:ascii="Georgia" w:hAnsi="Georgia"/>
      <w:b/>
      <w:bCs/>
      <w:color w:val="CF4520"/>
      <w:sz w:val="26"/>
      <w:szCs w:val="26"/>
    </w:rPr>
  </w:style>
  <w:style w:type="character" w:customStyle="1" w:styleId="Heading3Char">
    <w:name w:val="Heading 3 Char"/>
    <w:aliases w:val="Para3 Char,head3hdbk Char,H3 Char,C Sub-Sub/Italic Char,h3 sub heading Char,Head 3 Char,Head 31 Char,Head 32 Char,C Sub-Sub/Italic1 Char,3 Char,Sub2Para Char,(1) Char,Major Sections Char,subsub Char,Para 3 Char,h3 Char"/>
    <w:link w:val="Heading3"/>
    <w:uiPriority w:val="9"/>
    <w:locked/>
    <w:rsid w:val="00954FB7"/>
    <w:rPr>
      <w:b/>
      <w:bCs/>
      <w:szCs w:val="24"/>
    </w:rPr>
  </w:style>
  <w:style w:type="character" w:customStyle="1" w:styleId="Heading4Char">
    <w:name w:val="Heading 4 Char"/>
    <w:aliases w:val="Para4 Char,headhbk Char,(a) Char,h4 Char"/>
    <w:link w:val="Heading4"/>
    <w:uiPriority w:val="9"/>
    <w:locked/>
    <w:rsid w:val="00954FB7"/>
    <w:rPr>
      <w:b/>
      <w:bCs/>
      <w:iCs/>
      <w:szCs w:val="24"/>
    </w:rPr>
  </w:style>
  <w:style w:type="character" w:customStyle="1" w:styleId="Heading5Char">
    <w:name w:val="Heading 5 Char"/>
    <w:aliases w:val="Para5 Char,i. Char,H Char,subsubpara Char,1.1.1.1.1 Char"/>
    <w:link w:val="Heading5"/>
    <w:locked/>
    <w:rsid w:val="00954FB7"/>
    <w:rPr>
      <w:rFonts w:ascii="Arial" w:hAnsi="Arial"/>
      <w:b/>
      <w:bCs/>
      <w:iCs/>
      <w:szCs w:val="26"/>
    </w:rPr>
  </w:style>
  <w:style w:type="character" w:customStyle="1" w:styleId="Heading6Char">
    <w:name w:val="Heading 6 Char"/>
    <w:aliases w:val="sub-dash Char,sd Char,5 Char,Spare2 Char"/>
    <w:link w:val="Heading6"/>
    <w:locked/>
    <w:rsid w:val="00954FB7"/>
    <w:rPr>
      <w:b/>
      <w:bCs/>
      <w:szCs w:val="24"/>
    </w:rPr>
  </w:style>
  <w:style w:type="character" w:customStyle="1" w:styleId="Heading7Char1">
    <w:name w:val="Heading 7 Char1"/>
    <w:aliases w:val="Spare3 Char,h7 Char,H7 Char,Legal Level 1.1. Char,7 Char,Heading 7 Char Char,Response Alpha Char,Response Numeral Char,Heading 7 Char1 Char1 Char,Heading 7 Char Char Char1 Char,Heading 7 Char1 Char1 Char Char Char1 Char"/>
    <w:link w:val="Heading7"/>
    <w:locked/>
    <w:rsid w:val="00954FB7"/>
    <w:rPr>
      <w:sz w:val="24"/>
      <w:szCs w:val="24"/>
    </w:rPr>
  </w:style>
  <w:style w:type="character" w:customStyle="1" w:styleId="Heading8Char">
    <w:name w:val="Heading 8 Char"/>
    <w:aliases w:val="Spare4 Char"/>
    <w:link w:val="Heading8"/>
    <w:locked/>
    <w:rsid w:val="00954FB7"/>
    <w:rPr>
      <w:i/>
      <w:iCs/>
      <w:sz w:val="24"/>
      <w:szCs w:val="24"/>
    </w:rPr>
  </w:style>
  <w:style w:type="character" w:customStyle="1" w:styleId="Heading9Char">
    <w:name w:val="Heading 9 Char"/>
    <w:aliases w:val="Spare5 Char"/>
    <w:link w:val="Heading9"/>
    <w:locked/>
    <w:rsid w:val="00954FB7"/>
    <w:rPr>
      <w:rFonts w:ascii="Arial" w:hAnsi="Arial" w:cs="Arial"/>
      <w:szCs w:val="24"/>
    </w:rPr>
  </w:style>
  <w:style w:type="character" w:customStyle="1" w:styleId="Heading1Char1">
    <w:name w:val="Heading 1 Char1"/>
    <w:aliases w:val="h1 Char,Para1 Char,Top 1 Char,ParaLevel1 Char,Level 1 Para Char,Level 1 Para1 Char,Level 1 Para2 Char,Level 1 Para3 Char,Level 1 Para4 Char,Level 1 Para11 Char,Level 1 Para21 Char,Level 1 Para31 Char,Level 1 Para5 Char,Level 1 Para6 Char"/>
    <w:locked/>
    <w:rsid w:val="00954FB7"/>
    <w:rPr>
      <w:b/>
      <w:bCs/>
      <w:sz w:val="28"/>
      <w:szCs w:val="28"/>
      <w:lang w:val="en-AU" w:eastAsia="en-US" w:bidi="ar-SA"/>
    </w:rPr>
  </w:style>
  <w:style w:type="paragraph" w:styleId="BodyText">
    <w:name w:val="Body Text"/>
    <w:basedOn w:val="Normal"/>
    <w:link w:val="BodyTextChar"/>
    <w:rsid w:val="00B21843"/>
  </w:style>
  <w:style w:type="character" w:customStyle="1" w:styleId="BodyTextChar">
    <w:name w:val="Body Text Char"/>
    <w:link w:val="BodyText"/>
    <w:locked/>
    <w:rsid w:val="00954FB7"/>
    <w:rPr>
      <w:rFonts w:ascii="Arial" w:eastAsia="Calibri" w:hAnsi="Arial"/>
      <w:szCs w:val="22"/>
      <w:lang w:val="en-AU" w:eastAsia="en-US" w:bidi="ar-SA"/>
    </w:rPr>
  </w:style>
  <w:style w:type="character" w:styleId="CommentReference">
    <w:name w:val="annotation reference"/>
    <w:uiPriority w:val="99"/>
    <w:semiHidden/>
    <w:rPr>
      <w:sz w:val="16"/>
    </w:rPr>
  </w:style>
  <w:style w:type="paragraph" w:styleId="CommentText">
    <w:name w:val="annotation text"/>
    <w:basedOn w:val="Normal"/>
    <w:link w:val="CommentTextChar2"/>
    <w:semiHidden/>
  </w:style>
  <w:style w:type="character" w:customStyle="1" w:styleId="CommentTextChar2">
    <w:name w:val="Comment Text Char2"/>
    <w:link w:val="CommentText"/>
    <w:semiHidden/>
    <w:rsid w:val="00E23DCE"/>
    <w:rPr>
      <w:rFonts w:ascii="Arial" w:eastAsia="Calibri" w:hAnsi="Arial"/>
      <w:szCs w:val="22"/>
      <w:lang w:val="en-AU" w:eastAsia="en-US" w:bidi="ar-SA"/>
    </w:rPr>
  </w:style>
  <w:style w:type="character" w:styleId="PageNumber">
    <w:name w:val="page number"/>
    <w:basedOn w:val="DefaultParagraphFont"/>
    <w:semiHidden/>
  </w:style>
  <w:style w:type="paragraph" w:styleId="Header">
    <w:name w:val="header"/>
    <w:basedOn w:val="Normal"/>
    <w:link w:val="HeaderChar"/>
    <w:semiHidden/>
    <w:pPr>
      <w:tabs>
        <w:tab w:val="right" w:pos="9090"/>
      </w:tabs>
      <w:spacing w:after="0"/>
      <w:ind w:left="864" w:hanging="864"/>
    </w:pPr>
    <w:rPr>
      <w:sz w:val="16"/>
      <w:lang w:val="en-US"/>
    </w:rPr>
  </w:style>
  <w:style w:type="character" w:customStyle="1" w:styleId="HeaderChar">
    <w:name w:val="Header Char"/>
    <w:link w:val="Header"/>
    <w:semiHidden/>
    <w:rsid w:val="00954FB7"/>
    <w:rPr>
      <w:rFonts w:ascii="Arial" w:eastAsia="Calibri" w:hAnsi="Arial"/>
      <w:sz w:val="16"/>
      <w:szCs w:val="22"/>
      <w:lang w:val="en-US" w:eastAsia="en-US" w:bidi="ar-SA"/>
    </w:rPr>
  </w:style>
  <w:style w:type="paragraph" w:styleId="Footer">
    <w:name w:val="footer"/>
    <w:basedOn w:val="Normal"/>
    <w:link w:val="FooterChar"/>
    <w:semiHidden/>
    <w:pPr>
      <w:tabs>
        <w:tab w:val="right" w:pos="9090"/>
      </w:tabs>
      <w:spacing w:after="0"/>
    </w:pPr>
    <w:rPr>
      <w:sz w:val="16"/>
      <w:lang w:val="en-US"/>
    </w:rPr>
  </w:style>
  <w:style w:type="character" w:customStyle="1" w:styleId="FooterChar">
    <w:name w:val="Footer Char"/>
    <w:link w:val="Footer"/>
    <w:semiHidden/>
    <w:rsid w:val="00954FB7"/>
    <w:rPr>
      <w:rFonts w:ascii="Arial" w:eastAsia="Calibri" w:hAnsi="Arial"/>
      <w:sz w:val="16"/>
      <w:szCs w:val="22"/>
      <w:lang w:val="en-US" w:eastAsia="en-US" w:bidi="ar-SA"/>
    </w:rPr>
  </w:style>
  <w:style w:type="character" w:styleId="Hyperlink">
    <w:name w:val="Hyperlink"/>
    <w:uiPriority w:val="99"/>
    <w:unhideWhenUsed/>
    <w:rsid w:val="006F19DE"/>
    <w:rPr>
      <w:color w:val="0000FF"/>
      <w:u w:val="single"/>
    </w:rPr>
  </w:style>
  <w:style w:type="paragraph" w:styleId="BodyTextIndent2">
    <w:name w:val="Body Text Indent 2"/>
    <w:basedOn w:val="Normal"/>
    <w:semiHidden/>
    <w:pPr>
      <w:ind w:left="1440"/>
    </w:pPr>
    <w:rPr>
      <w:sz w:val="24"/>
    </w:rPr>
  </w:style>
  <w:style w:type="paragraph" w:styleId="BalloonText">
    <w:name w:val="Balloon Text"/>
    <w:basedOn w:val="Normal"/>
    <w:link w:val="BalloonTextChar"/>
    <w:autoRedefine/>
    <w:rsid w:val="004F4BAC"/>
    <w:rPr>
      <w:sz w:val="18"/>
      <w:szCs w:val="20"/>
    </w:rPr>
  </w:style>
  <w:style w:type="character" w:styleId="FollowedHyperlink">
    <w:name w:val="FollowedHyperlink"/>
    <w:semiHidden/>
    <w:rPr>
      <w:color w:val="800080"/>
      <w:u w:val="single"/>
    </w:rPr>
  </w:style>
  <w:style w:type="paragraph" w:styleId="BlockText">
    <w:name w:val="Block Text"/>
    <w:basedOn w:val="Normal"/>
    <w:semiHidden/>
    <w:pPr>
      <w:spacing w:after="240"/>
      <w:ind w:left="2127" w:right="238" w:hanging="2127"/>
    </w:pPr>
    <w:rPr>
      <w:sz w:val="24"/>
    </w:rPr>
  </w:style>
  <w:style w:type="paragraph" w:styleId="BodyText2">
    <w:name w:val="Body Text 2"/>
    <w:basedOn w:val="Normal"/>
    <w:semiHidden/>
    <w:rsid w:val="00486EAD"/>
    <w:pPr>
      <w:ind w:left="720" w:hanging="720"/>
    </w:pPr>
    <w:rPr>
      <w:b/>
      <w:sz w:val="24"/>
    </w:rPr>
  </w:style>
  <w:style w:type="paragraph" w:styleId="BodyText3">
    <w:name w:val="Body Text 3"/>
    <w:basedOn w:val="Normal"/>
    <w:semiHidden/>
    <w:pPr>
      <w:spacing w:after="240"/>
    </w:pPr>
  </w:style>
  <w:style w:type="paragraph" w:styleId="DocumentMap">
    <w:name w:val="Document Map"/>
    <w:basedOn w:val="Normal"/>
    <w:semiHidden/>
    <w:pPr>
      <w:shd w:val="clear" w:color="auto" w:fill="000080"/>
    </w:pPr>
    <w:rPr>
      <w:rFonts w:ascii="Tahoma" w:hAnsi="Tahoma"/>
    </w:rPr>
  </w:style>
  <w:style w:type="paragraph" w:styleId="ListBullet">
    <w:name w:val="List Bullet"/>
    <w:basedOn w:val="Normal"/>
    <w:semiHidden/>
    <w:pPr>
      <w:widowControl w:val="0"/>
      <w:spacing w:after="220"/>
    </w:pPr>
    <w:rPr>
      <w:rFonts w:ascii="Times New Roman" w:hAnsi="Times New Roman"/>
    </w:rPr>
  </w:style>
  <w:style w:type="paragraph" w:styleId="FootnoteText">
    <w:name w:val="footnote text"/>
    <w:basedOn w:val="Normal"/>
    <w:semiHidden/>
    <w:rsid w:val="006F19DE"/>
    <w:rPr>
      <w:szCs w:val="20"/>
    </w:rPr>
  </w:style>
  <w:style w:type="character" w:styleId="FootnoteReference">
    <w:name w:val="footnote reference"/>
    <w:semiHidden/>
    <w:rPr>
      <w:vertAlign w:val="superscript"/>
    </w:rPr>
  </w:style>
  <w:style w:type="paragraph" w:styleId="EndnoteText">
    <w:name w:val="endnote text"/>
    <w:basedOn w:val="Normal"/>
    <w:link w:val="EndnoteTextChar"/>
    <w:semiHidden/>
    <w:rsid w:val="00B21843"/>
    <w:rPr>
      <w:szCs w:val="20"/>
    </w:rPr>
  </w:style>
  <w:style w:type="character" w:customStyle="1" w:styleId="EndnoteTextChar">
    <w:name w:val="Endnote Text Char"/>
    <w:link w:val="EndnoteText"/>
    <w:semiHidden/>
    <w:locked/>
    <w:rsid w:val="00954FB7"/>
    <w:rPr>
      <w:rFonts w:ascii="Arial" w:eastAsia="Calibri" w:hAnsi="Arial"/>
      <w:lang w:val="en-AU" w:eastAsia="en-US" w:bidi="ar-SA"/>
    </w:rPr>
  </w:style>
  <w:style w:type="character" w:styleId="EndnoteReference">
    <w:name w:val="endnote reference"/>
    <w:semiHidden/>
    <w:rPr>
      <w:vertAlign w:val="superscript"/>
    </w:rPr>
  </w:style>
  <w:style w:type="paragraph" w:styleId="ListNumber2">
    <w:name w:val="List Number 2"/>
    <w:basedOn w:val="Normal"/>
    <w:semiHidden/>
    <w:pPr>
      <w:tabs>
        <w:tab w:val="left" w:pos="0"/>
        <w:tab w:val="left" w:pos="851"/>
        <w:tab w:val="left" w:pos="1701"/>
        <w:tab w:val="left" w:pos="2018"/>
        <w:tab w:val="left" w:pos="3027"/>
        <w:tab w:val="left" w:pos="4036"/>
        <w:tab w:val="left" w:pos="5046"/>
        <w:tab w:val="left" w:pos="6054"/>
        <w:tab w:val="left" w:pos="7063"/>
        <w:tab w:val="left" w:pos="8072"/>
        <w:tab w:val="left" w:pos="9081"/>
        <w:tab w:val="left" w:pos="10090"/>
        <w:tab w:val="left" w:pos="11100"/>
        <w:tab w:val="left" w:pos="12109"/>
        <w:tab w:val="left" w:pos="13118"/>
        <w:tab w:val="left" w:pos="14127"/>
        <w:tab w:val="left" w:pos="15136"/>
        <w:tab w:val="left" w:pos="16144"/>
        <w:tab w:val="left" w:pos="17154"/>
        <w:tab w:val="left" w:pos="18163"/>
      </w:tabs>
      <w:suppressAutoHyphens/>
      <w:spacing w:after="220"/>
      <w:ind w:left="1701" w:hanging="850"/>
    </w:pPr>
    <w:rPr>
      <w:rFonts w:ascii="CG Times" w:hAnsi="CG Times"/>
      <w:sz w:val="24"/>
    </w:rPr>
  </w:style>
  <w:style w:type="paragraph" w:styleId="BodyTextIndent3">
    <w:name w:val="Body Text Indent 3"/>
    <w:basedOn w:val="Normal"/>
    <w:semiHidden/>
    <w:pPr>
      <w:spacing w:after="0"/>
      <w:ind w:left="1418" w:hanging="851"/>
    </w:pPr>
    <w:rPr>
      <w:rFonts w:ascii="Times New Roman" w:hAnsi="Times New Roman"/>
      <w:lang w:val="en-US"/>
    </w:rPr>
  </w:style>
  <w:style w:type="paragraph" w:styleId="TOC1">
    <w:name w:val="toc 1"/>
    <w:next w:val="ASDEFCONNormal"/>
    <w:uiPriority w:val="39"/>
    <w:rsid w:val="006F19DE"/>
    <w:pPr>
      <w:tabs>
        <w:tab w:val="right" w:leader="dot" w:pos="9016"/>
      </w:tabs>
      <w:spacing w:before="120" w:after="60"/>
      <w:ind w:hanging="567"/>
      <w:jc w:val="both"/>
    </w:pPr>
    <w:rPr>
      <w:rFonts w:ascii="Arial" w:hAnsi="Arial" w:cs="Arial"/>
      <w:b/>
      <w:noProof/>
      <w:szCs w:val="24"/>
    </w:rPr>
  </w:style>
  <w:style w:type="paragraph" w:customStyle="1" w:styleId="ASDEFCONNormal">
    <w:name w:val="ASDEFCON Normal"/>
    <w:link w:val="ASDEFCONNormalChar"/>
    <w:rsid w:val="006F19DE"/>
    <w:pPr>
      <w:spacing w:after="120"/>
      <w:jc w:val="both"/>
    </w:pPr>
    <w:rPr>
      <w:rFonts w:ascii="Arial" w:hAnsi="Arial"/>
      <w:color w:val="000000"/>
      <w:szCs w:val="40"/>
    </w:rPr>
  </w:style>
  <w:style w:type="character" w:customStyle="1" w:styleId="ASDEFCONNormalChar">
    <w:name w:val="ASDEFCON Normal Char"/>
    <w:link w:val="ASDEFCONNormal"/>
    <w:rsid w:val="006F19DE"/>
    <w:rPr>
      <w:rFonts w:ascii="Arial" w:hAnsi="Arial"/>
      <w:color w:val="000000"/>
      <w:szCs w:val="40"/>
    </w:rPr>
  </w:style>
  <w:style w:type="paragraph" w:styleId="TOC2">
    <w:name w:val="toc 2"/>
    <w:next w:val="ASDEFCONNormal"/>
    <w:uiPriority w:val="39"/>
    <w:rsid w:val="006F19DE"/>
    <w:pPr>
      <w:tabs>
        <w:tab w:val="right" w:leader="dot" w:pos="9072"/>
      </w:tabs>
      <w:spacing w:after="60"/>
      <w:ind w:left="567" w:hanging="567"/>
      <w:jc w:val="both"/>
    </w:pPr>
    <w:rPr>
      <w:rFonts w:ascii="Arial" w:hAnsi="Arial" w:cs="Arial"/>
      <w:szCs w:val="24"/>
    </w:rPr>
  </w:style>
  <w:style w:type="paragraph" w:styleId="TOC3">
    <w:name w:val="toc 3"/>
    <w:basedOn w:val="Normal"/>
    <w:next w:val="Normal"/>
    <w:autoRedefine/>
    <w:rsid w:val="006F19DE"/>
    <w:pPr>
      <w:spacing w:after="60"/>
      <w:ind w:left="567"/>
    </w:pPr>
    <w:rPr>
      <w:rFonts w:cs="Arial"/>
    </w:rPr>
  </w:style>
  <w:style w:type="paragraph" w:styleId="TOC4">
    <w:name w:val="toc 4"/>
    <w:basedOn w:val="Normal"/>
    <w:next w:val="Normal"/>
    <w:autoRedefine/>
    <w:rsid w:val="006F19DE"/>
    <w:pPr>
      <w:spacing w:after="100"/>
      <w:ind w:left="600"/>
    </w:pPr>
  </w:style>
  <w:style w:type="paragraph" w:styleId="TOC5">
    <w:name w:val="toc 5"/>
    <w:basedOn w:val="Normal"/>
    <w:next w:val="Normal"/>
    <w:autoRedefine/>
    <w:rsid w:val="006F19DE"/>
    <w:pPr>
      <w:spacing w:after="100"/>
      <w:ind w:left="800"/>
    </w:pPr>
  </w:style>
  <w:style w:type="paragraph" w:styleId="TOC6">
    <w:name w:val="toc 6"/>
    <w:basedOn w:val="Normal"/>
    <w:next w:val="Normal"/>
    <w:autoRedefine/>
    <w:rsid w:val="006F19DE"/>
    <w:pPr>
      <w:spacing w:after="100"/>
      <w:ind w:left="1000"/>
    </w:pPr>
  </w:style>
  <w:style w:type="paragraph" w:styleId="TOC7">
    <w:name w:val="toc 7"/>
    <w:basedOn w:val="Normal"/>
    <w:next w:val="Normal"/>
    <w:autoRedefine/>
    <w:rsid w:val="006F19DE"/>
    <w:pPr>
      <w:spacing w:after="100"/>
      <w:ind w:left="1200"/>
    </w:pPr>
  </w:style>
  <w:style w:type="paragraph" w:styleId="TOC8">
    <w:name w:val="toc 8"/>
    <w:basedOn w:val="Normal"/>
    <w:next w:val="Normal"/>
    <w:autoRedefine/>
    <w:rsid w:val="006F19DE"/>
    <w:pPr>
      <w:spacing w:after="100"/>
      <w:ind w:left="1400"/>
    </w:pPr>
  </w:style>
  <w:style w:type="paragraph" w:styleId="TOC9">
    <w:name w:val="toc 9"/>
    <w:basedOn w:val="Normal"/>
    <w:next w:val="Normal"/>
    <w:autoRedefine/>
    <w:rsid w:val="006F19DE"/>
    <w:pPr>
      <w:spacing w:after="100"/>
      <w:ind w:left="1600"/>
    </w:pPr>
  </w:style>
  <w:style w:type="paragraph" w:styleId="BodyTextIndent">
    <w:name w:val="Body Text Indent"/>
    <w:basedOn w:val="Normal"/>
    <w:semiHidden/>
    <w:pPr>
      <w:ind w:left="851"/>
    </w:pPr>
    <w:rPr>
      <w:b/>
    </w:rPr>
  </w:style>
  <w:style w:type="paragraph" w:styleId="PlainText">
    <w:name w:val="Plain Text"/>
    <w:basedOn w:val="Normal"/>
    <w:semiHidden/>
    <w:rPr>
      <w:rFonts w:ascii="Courier New" w:hAnsi="Courier New"/>
    </w:rPr>
  </w:style>
  <w:style w:type="table" w:styleId="TableGrid">
    <w:name w:val="Table Grid"/>
    <w:basedOn w:val="TableNormal"/>
    <w:uiPriority w:val="59"/>
    <w:rsid w:val="00B21843"/>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Heading4"/>
    <w:rsid w:val="00B21843"/>
    <w:pPr>
      <w:numPr>
        <w:ilvl w:val="0"/>
        <w:numId w:val="0"/>
      </w:numPr>
    </w:pPr>
    <w:rPr>
      <w:b w:val="0"/>
    </w:rPr>
  </w:style>
  <w:style w:type="paragraph" w:styleId="CommentSubject">
    <w:name w:val="annotation subject"/>
    <w:basedOn w:val="CommentText"/>
    <w:next w:val="CommentText"/>
    <w:link w:val="CommentSubjectChar"/>
    <w:semiHidden/>
    <w:rsid w:val="00702370"/>
    <w:rPr>
      <w:b/>
      <w:bCs/>
      <w:szCs w:val="20"/>
    </w:rPr>
  </w:style>
  <w:style w:type="character" w:customStyle="1" w:styleId="CommentSubjectChar">
    <w:name w:val="Comment Subject Char"/>
    <w:link w:val="CommentSubject"/>
    <w:semiHidden/>
    <w:rsid w:val="00954FB7"/>
    <w:rPr>
      <w:rFonts w:ascii="Arial" w:eastAsia="Calibri" w:hAnsi="Arial"/>
      <w:b/>
      <w:bCs/>
      <w:lang w:val="en-AU" w:eastAsia="en-US" w:bidi="ar-SA"/>
    </w:rPr>
  </w:style>
  <w:style w:type="paragraph" w:customStyle="1" w:styleId="Figure">
    <w:name w:val="Figure"/>
    <w:basedOn w:val="Normal"/>
    <w:semiHidden/>
    <w:rsid w:val="00D9366A"/>
    <w:rPr>
      <w:sz w:val="28"/>
    </w:rPr>
  </w:style>
  <w:style w:type="paragraph" w:customStyle="1" w:styleId="Clause">
    <w:name w:val="Clause"/>
    <w:basedOn w:val="Normal"/>
    <w:next w:val="Normal"/>
    <w:rsid w:val="00F45FD8"/>
    <w:pPr>
      <w:jc w:val="right"/>
    </w:pPr>
    <w:rPr>
      <w:i/>
    </w:rPr>
  </w:style>
  <w:style w:type="paragraph" w:customStyle="1" w:styleId="appendixno">
    <w:name w:val="appendixno"/>
    <w:basedOn w:val="Normal"/>
    <w:rsid w:val="00F45FD8"/>
    <w:pPr>
      <w:numPr>
        <w:numId w:val="4"/>
      </w:numPr>
      <w:spacing w:line="240" w:lineRule="atLeast"/>
      <w:ind w:right="-43"/>
    </w:pPr>
    <w:rPr>
      <w:snapToGrid w:val="0"/>
      <w:lang w:val="en-US"/>
    </w:rPr>
  </w:style>
  <w:style w:type="paragraph" w:customStyle="1" w:styleId="Notespara">
    <w:name w:val="Note spara"/>
    <w:basedOn w:val="PlainText"/>
    <w:rsid w:val="00F1141F"/>
    <w:pPr>
      <w:keepNext/>
      <w:numPr>
        <w:numId w:val="5"/>
      </w:numPr>
    </w:pPr>
    <w:rPr>
      <w:rFonts w:ascii="Arial" w:hAnsi="Arial"/>
      <w:b/>
      <w:i/>
    </w:rPr>
  </w:style>
  <w:style w:type="paragraph" w:customStyle="1" w:styleId="FigureCaption">
    <w:name w:val="Figure Caption"/>
    <w:basedOn w:val="Normal"/>
    <w:rsid w:val="006809FA"/>
    <w:pPr>
      <w:spacing w:before="120"/>
      <w:jc w:val="center"/>
    </w:pPr>
    <w:rPr>
      <w:b/>
    </w:rPr>
  </w:style>
  <w:style w:type="paragraph" w:styleId="Caption">
    <w:name w:val="caption"/>
    <w:basedOn w:val="Normal"/>
    <w:next w:val="Normal"/>
    <w:qFormat/>
    <w:rsid w:val="006F19DE"/>
    <w:pPr>
      <w:spacing w:before="120" w:after="0"/>
      <w:jc w:val="center"/>
    </w:pPr>
    <w:rPr>
      <w:rFonts w:cs="Arial"/>
      <w:b/>
      <w:bCs/>
      <w:szCs w:val="20"/>
    </w:rPr>
  </w:style>
  <w:style w:type="paragraph" w:customStyle="1" w:styleId="Unpara1">
    <w:name w:val="Unpara1"/>
    <w:basedOn w:val="Normal"/>
    <w:semiHidden/>
    <w:rsid w:val="00954FB7"/>
    <w:rPr>
      <w:sz w:val="24"/>
    </w:rPr>
  </w:style>
  <w:style w:type="paragraph" w:customStyle="1" w:styleId="ListType1">
    <w:name w:val="List Type 1"/>
    <w:basedOn w:val="Normal"/>
    <w:semiHidden/>
    <w:rsid w:val="00954FB7"/>
    <w:pPr>
      <w:ind w:left="1854" w:right="1008" w:hanging="720"/>
    </w:pPr>
    <w:rPr>
      <w:sz w:val="24"/>
    </w:rPr>
  </w:style>
  <w:style w:type="paragraph" w:customStyle="1" w:styleId="Tag">
    <w:name w:val="Tag"/>
    <w:basedOn w:val="Normal"/>
    <w:semiHidden/>
    <w:rsid w:val="00954FB7"/>
    <w:pPr>
      <w:keepNext/>
    </w:pPr>
  </w:style>
  <w:style w:type="paragraph" w:customStyle="1" w:styleId="AnnexList">
    <w:name w:val="AnnexList"/>
    <w:basedOn w:val="Normal"/>
    <w:semiHidden/>
    <w:rsid w:val="00954FB7"/>
    <w:pPr>
      <w:ind w:left="641" w:hanging="641"/>
    </w:pPr>
  </w:style>
  <w:style w:type="paragraph" w:customStyle="1" w:styleId="BodyText21">
    <w:name w:val="Body Text 21"/>
    <w:basedOn w:val="Normal"/>
    <w:semiHidden/>
    <w:rsid w:val="00954FB7"/>
    <w:pPr>
      <w:keepNext/>
      <w:spacing w:after="240"/>
      <w:ind w:right="522"/>
    </w:pPr>
    <w:rPr>
      <w:sz w:val="24"/>
    </w:rPr>
  </w:style>
  <w:style w:type="paragraph" w:customStyle="1" w:styleId="Leg2Sec1">
    <w:name w:val="Leg2 Sec: 1."/>
    <w:basedOn w:val="Normal"/>
    <w:semiHidden/>
    <w:rsid w:val="00954FB7"/>
    <w:pPr>
      <w:spacing w:before="80" w:after="80" w:line="270" w:lineRule="atLeast"/>
      <w:ind w:left="1701" w:right="567" w:hanging="1134"/>
    </w:pPr>
    <w:rPr>
      <w:rFonts w:ascii="Times" w:hAnsi="Times"/>
      <w:color w:val="000000"/>
    </w:rPr>
  </w:style>
  <w:style w:type="paragraph" w:customStyle="1" w:styleId="NormalBase">
    <w:name w:val="Normal Base"/>
    <w:semiHidden/>
    <w:rsid w:val="00954FB7"/>
    <w:pPr>
      <w:tabs>
        <w:tab w:val="left" w:pos="567"/>
      </w:tabs>
      <w:spacing w:before="120" w:after="120" w:line="300" w:lineRule="atLeast"/>
      <w:jc w:val="both"/>
    </w:pPr>
    <w:rPr>
      <w:rFonts w:ascii="Times" w:hAnsi="Times"/>
      <w:sz w:val="24"/>
      <w:lang w:eastAsia="en-US"/>
    </w:rPr>
  </w:style>
  <w:style w:type="paragraph" w:customStyle="1" w:styleId="bullet2">
    <w:name w:val="bullet 2"/>
    <w:basedOn w:val="Normal"/>
    <w:semiHidden/>
    <w:rsid w:val="00954FB7"/>
    <w:pPr>
      <w:tabs>
        <w:tab w:val="left" w:pos="717"/>
      </w:tabs>
      <w:spacing w:before="120" w:after="0"/>
      <w:ind w:left="717" w:hanging="360"/>
    </w:pPr>
    <w:rPr>
      <w:color w:val="000000"/>
      <w:sz w:val="26"/>
      <w:lang w:val="en-US"/>
    </w:rPr>
  </w:style>
  <w:style w:type="paragraph" w:customStyle="1" w:styleId="Bullet">
    <w:name w:val="Bullet"/>
    <w:basedOn w:val="Normal"/>
    <w:semiHidden/>
    <w:rsid w:val="00954FB7"/>
    <w:pPr>
      <w:widowControl w:val="0"/>
      <w:tabs>
        <w:tab w:val="left" w:pos="567"/>
      </w:tabs>
      <w:spacing w:before="60" w:after="60"/>
      <w:ind w:left="567" w:hanging="567"/>
    </w:pPr>
    <w:rPr>
      <w:rFonts w:ascii="Times New Roman" w:hAnsi="Times New Roman"/>
      <w:sz w:val="24"/>
      <w:lang w:val="en-US"/>
    </w:rPr>
  </w:style>
  <w:style w:type="paragraph" w:customStyle="1" w:styleId="ParagraphText">
    <w:name w:val="Paragraph Text"/>
    <w:semiHidden/>
    <w:rsid w:val="00954FB7"/>
    <w:pPr>
      <w:widowControl w:val="0"/>
      <w:jc w:val="both"/>
    </w:pPr>
    <w:rPr>
      <w:rFonts w:ascii="Arial" w:hAnsi="Arial"/>
      <w:sz w:val="18"/>
      <w:lang w:eastAsia="en-US"/>
    </w:rPr>
  </w:style>
  <w:style w:type="paragraph" w:customStyle="1" w:styleId="Indent2">
    <w:name w:val="Indent 2"/>
    <w:basedOn w:val="Heading2"/>
    <w:semiHidden/>
    <w:rsid w:val="00954FB7"/>
    <w:pPr>
      <w:tabs>
        <w:tab w:val="left" w:pos="360"/>
      </w:tabs>
      <w:ind w:left="737"/>
      <w:outlineLvl w:val="9"/>
    </w:pPr>
  </w:style>
  <w:style w:type="paragraph" w:customStyle="1" w:styleId="spara">
    <w:name w:val="spara"/>
    <w:next w:val="Normal"/>
    <w:semiHidden/>
    <w:rsid w:val="00954FB7"/>
    <w:pPr>
      <w:numPr>
        <w:ilvl w:val="2"/>
        <w:numId w:val="6"/>
      </w:numPr>
      <w:tabs>
        <w:tab w:val="clear" w:pos="720"/>
        <w:tab w:val="num" w:pos="810"/>
      </w:tabs>
      <w:spacing w:after="120"/>
      <w:ind w:left="907" w:firstLine="0"/>
    </w:pPr>
    <w:rPr>
      <w:rFonts w:ascii="Arial" w:hAnsi="Arial"/>
      <w:noProof/>
      <w:lang w:eastAsia="en-US"/>
    </w:rPr>
  </w:style>
  <w:style w:type="paragraph" w:customStyle="1" w:styleId="Note">
    <w:name w:val="Note"/>
    <w:basedOn w:val="PlainText"/>
    <w:semiHidden/>
    <w:rsid w:val="00954FB7"/>
    <w:pPr>
      <w:keepNext/>
      <w:tabs>
        <w:tab w:val="left" w:pos="851"/>
      </w:tabs>
    </w:pPr>
    <w:rPr>
      <w:rFonts w:ascii="Arial" w:hAnsi="Arial"/>
      <w:b/>
      <w:i/>
    </w:rPr>
  </w:style>
  <w:style w:type="paragraph" w:customStyle="1" w:styleId="TextLevel2">
    <w:name w:val="Text Level 2"/>
    <w:basedOn w:val="Normal"/>
    <w:semiHidden/>
    <w:rsid w:val="00954FB7"/>
    <w:pPr>
      <w:numPr>
        <w:ilvl w:val="1"/>
        <w:numId w:val="8"/>
      </w:numPr>
    </w:pPr>
    <w:rPr>
      <w:lang w:val="en-US"/>
    </w:rPr>
  </w:style>
  <w:style w:type="paragraph" w:customStyle="1" w:styleId="NotetoDrafters">
    <w:name w:val="Note to Drafters"/>
    <w:basedOn w:val="Normal"/>
    <w:next w:val="Normal"/>
    <w:semiHidden/>
    <w:rsid w:val="00954FB7"/>
    <w:pPr>
      <w:shd w:val="clear" w:color="auto" w:fill="000000"/>
      <w:spacing w:after="0"/>
    </w:pPr>
    <w:rPr>
      <w:b/>
      <w:i/>
    </w:rPr>
  </w:style>
  <w:style w:type="paragraph" w:customStyle="1" w:styleId="Notetotenderers">
    <w:name w:val="Note to tenderers"/>
    <w:basedOn w:val="Normal"/>
    <w:next w:val="Normal"/>
    <w:semiHidden/>
    <w:rsid w:val="00954FB7"/>
    <w:pPr>
      <w:shd w:val="pct20" w:color="auto" w:fill="FFFFFF"/>
      <w:spacing w:after="0"/>
    </w:pPr>
    <w:rPr>
      <w:b/>
      <w:i/>
      <w:lang w:val="en-US"/>
    </w:rPr>
  </w:style>
  <w:style w:type="paragraph" w:customStyle="1" w:styleId="Notetodrafters0">
    <w:name w:val="Note to drafters"/>
    <w:basedOn w:val="Normal"/>
    <w:semiHidden/>
    <w:rsid w:val="00954FB7"/>
    <w:pPr>
      <w:shd w:val="clear" w:color="auto" w:fill="000000"/>
    </w:pPr>
    <w:rPr>
      <w:b/>
      <w:i/>
      <w:lang w:val="en-US"/>
    </w:rPr>
  </w:style>
  <w:style w:type="paragraph" w:customStyle="1" w:styleId="Option">
    <w:name w:val="Option"/>
    <w:basedOn w:val="Normal"/>
    <w:next w:val="Normal"/>
    <w:semiHidden/>
    <w:rsid w:val="00954FB7"/>
    <w:pPr>
      <w:spacing w:before="120"/>
    </w:pPr>
    <w:rPr>
      <w:b/>
      <w:i/>
    </w:rPr>
  </w:style>
  <w:style w:type="paragraph" w:customStyle="1" w:styleId="NotetoTenderers0">
    <w:name w:val="Note to Tenderers"/>
    <w:basedOn w:val="Normal"/>
    <w:next w:val="Normal"/>
    <w:rsid w:val="00954FB7"/>
    <w:pPr>
      <w:shd w:val="pct15" w:color="auto" w:fill="FFFFFF"/>
      <w:spacing w:before="120"/>
    </w:pPr>
    <w:rPr>
      <w:b/>
      <w:i/>
    </w:rPr>
  </w:style>
  <w:style w:type="paragraph" w:customStyle="1" w:styleId="AttachmentHeading">
    <w:name w:val="Attachment Heading"/>
    <w:basedOn w:val="Normal"/>
    <w:semiHidden/>
    <w:rsid w:val="00954FB7"/>
    <w:pPr>
      <w:spacing w:after="0"/>
      <w:jc w:val="center"/>
    </w:pPr>
    <w:rPr>
      <w:b/>
      <w:caps/>
      <w:lang w:val="en-US"/>
    </w:rPr>
  </w:style>
  <w:style w:type="paragraph" w:customStyle="1" w:styleId="sspara">
    <w:name w:val="sspara"/>
    <w:next w:val="Normal"/>
    <w:semiHidden/>
    <w:rsid w:val="00954FB7"/>
    <w:pPr>
      <w:numPr>
        <w:ilvl w:val="3"/>
        <w:numId w:val="6"/>
      </w:numPr>
      <w:spacing w:after="120"/>
      <w:ind w:firstLine="576"/>
    </w:pPr>
    <w:rPr>
      <w:rFonts w:ascii="Arial" w:hAnsi="Arial"/>
      <w:noProof/>
      <w:lang w:eastAsia="en-US"/>
    </w:rPr>
  </w:style>
  <w:style w:type="paragraph" w:customStyle="1" w:styleId="TitleChapter">
    <w:name w:val="TitleChapter"/>
    <w:next w:val="TextLevel2"/>
    <w:semiHidden/>
    <w:rsid w:val="00954FB7"/>
    <w:pPr>
      <w:spacing w:before="240" w:after="120"/>
      <w:jc w:val="center"/>
    </w:pPr>
    <w:rPr>
      <w:rFonts w:ascii="Arial" w:hAnsi="Arial"/>
      <w:b/>
      <w:caps/>
      <w:noProof/>
      <w:lang w:eastAsia="en-US"/>
    </w:rPr>
  </w:style>
  <w:style w:type="paragraph" w:customStyle="1" w:styleId="Attachments">
    <w:name w:val="Attachments"/>
    <w:next w:val="Normal"/>
    <w:semiHidden/>
    <w:rsid w:val="00954FB7"/>
    <w:pPr>
      <w:numPr>
        <w:numId w:val="7"/>
      </w:numPr>
    </w:pPr>
    <w:rPr>
      <w:rFonts w:ascii="Arial" w:hAnsi="Arial"/>
      <w:noProof/>
      <w:lang w:eastAsia="en-US"/>
    </w:rPr>
  </w:style>
  <w:style w:type="paragraph" w:customStyle="1" w:styleId="TextLevel3">
    <w:name w:val="Text Level 3"/>
    <w:next w:val="Normal"/>
    <w:link w:val="TextLevel3Char"/>
    <w:rsid w:val="00954FB7"/>
    <w:pPr>
      <w:widowControl w:val="0"/>
      <w:tabs>
        <w:tab w:val="num" w:pos="907"/>
        <w:tab w:val="left" w:pos="1814"/>
      </w:tabs>
      <w:suppressAutoHyphens/>
      <w:spacing w:before="120" w:after="120"/>
      <w:ind w:left="907" w:hanging="907"/>
      <w:jc w:val="both"/>
    </w:pPr>
    <w:rPr>
      <w:rFonts w:ascii="Arial" w:eastAsia="Arial" w:hAnsi="Arial" w:cs="Arial"/>
      <w:lang w:val="en-GB" w:eastAsia="ar-SA"/>
    </w:rPr>
  </w:style>
  <w:style w:type="character" w:customStyle="1" w:styleId="TextLevel3Char">
    <w:name w:val="Text Level 3 Char"/>
    <w:link w:val="TextLevel3"/>
    <w:rsid w:val="00954FB7"/>
    <w:rPr>
      <w:rFonts w:ascii="Arial" w:eastAsia="Arial" w:hAnsi="Arial" w:cs="Arial"/>
      <w:lang w:val="en-GB" w:eastAsia="ar-SA" w:bidi="ar-SA"/>
    </w:rPr>
  </w:style>
  <w:style w:type="paragraph" w:customStyle="1" w:styleId="Default">
    <w:name w:val="Default"/>
    <w:rsid w:val="00954FB7"/>
    <w:pPr>
      <w:autoSpaceDE w:val="0"/>
      <w:autoSpaceDN w:val="0"/>
      <w:adjustRightInd w:val="0"/>
    </w:pPr>
    <w:rPr>
      <w:rFonts w:ascii="Arial" w:eastAsia="SimSun" w:hAnsi="Arial" w:cs="Arial"/>
      <w:color w:val="000000"/>
      <w:sz w:val="24"/>
      <w:szCs w:val="24"/>
      <w:lang w:eastAsia="zh-CN"/>
    </w:rPr>
  </w:style>
  <w:style w:type="paragraph" w:styleId="Revision">
    <w:name w:val="Revision"/>
    <w:hidden/>
    <w:semiHidden/>
    <w:rsid w:val="00954FB7"/>
    <w:rPr>
      <w:rFonts w:ascii="Arial" w:eastAsia="Calibri" w:hAnsi="Arial"/>
      <w:szCs w:val="22"/>
      <w:lang w:eastAsia="en-US"/>
    </w:rPr>
  </w:style>
  <w:style w:type="paragraph" w:customStyle="1" w:styleId="NoteToDrafters1">
    <w:name w:val="Note To Drafters"/>
    <w:basedOn w:val="Normal"/>
    <w:next w:val="Normal"/>
    <w:autoRedefine/>
    <w:semiHidden/>
    <w:rsid w:val="00954FB7"/>
    <w:pPr>
      <w:keepNext/>
      <w:shd w:val="clear" w:color="auto" w:fill="000000"/>
      <w:spacing w:before="120"/>
    </w:pPr>
    <w:rPr>
      <w:b/>
      <w:i/>
    </w:rPr>
  </w:style>
  <w:style w:type="paragraph" w:customStyle="1" w:styleId="Options">
    <w:name w:val="Options"/>
    <w:basedOn w:val="Normal"/>
    <w:next w:val="Normal"/>
    <w:semiHidden/>
    <w:rsid w:val="00954FB7"/>
    <w:pPr>
      <w:widowControl w:val="0"/>
    </w:pPr>
    <w:rPr>
      <w:b/>
      <w:i/>
    </w:rPr>
  </w:style>
  <w:style w:type="paragraph" w:customStyle="1" w:styleId="subpara">
    <w:name w:val="sub para"/>
    <w:basedOn w:val="Normal"/>
    <w:semiHidden/>
    <w:rsid w:val="00954FB7"/>
    <w:pPr>
      <w:tabs>
        <w:tab w:val="num" w:pos="1134"/>
        <w:tab w:val="left" w:pos="1418"/>
      </w:tabs>
      <w:ind w:left="1134" w:hanging="567"/>
    </w:pPr>
  </w:style>
  <w:style w:type="paragraph" w:customStyle="1" w:styleId="subsubpara">
    <w:name w:val="sub sub para"/>
    <w:basedOn w:val="Normal"/>
    <w:autoRedefine/>
    <w:semiHidden/>
    <w:rsid w:val="00954FB7"/>
    <w:pPr>
      <w:tabs>
        <w:tab w:val="left" w:pos="1985"/>
        <w:tab w:val="num" w:pos="2138"/>
      </w:tabs>
      <w:ind w:left="1985" w:hanging="567"/>
    </w:pPr>
  </w:style>
  <w:style w:type="paragraph" w:customStyle="1" w:styleId="TitleCase">
    <w:name w:val="Title Case"/>
    <w:basedOn w:val="Normal"/>
    <w:next w:val="Normal"/>
    <w:semiHidden/>
    <w:rsid w:val="00954FB7"/>
    <w:rPr>
      <w:b/>
      <w:caps/>
    </w:rPr>
  </w:style>
  <w:style w:type="paragraph" w:customStyle="1" w:styleId="Recitals">
    <w:name w:val="Recitals"/>
    <w:basedOn w:val="Normal"/>
    <w:semiHidden/>
    <w:rsid w:val="00954FB7"/>
    <w:pPr>
      <w:tabs>
        <w:tab w:val="left" w:pos="851"/>
        <w:tab w:val="num" w:pos="1134"/>
      </w:tabs>
    </w:pPr>
  </w:style>
  <w:style w:type="paragraph" w:customStyle="1" w:styleId="NormalIndent1">
    <w:name w:val="Normal Indent1"/>
    <w:basedOn w:val="Normal"/>
    <w:autoRedefine/>
    <w:semiHidden/>
    <w:rsid w:val="00954FB7"/>
    <w:pPr>
      <w:keepNext/>
      <w:ind w:left="851"/>
    </w:pPr>
  </w:style>
  <w:style w:type="paragraph" w:customStyle="1" w:styleId="TablePara">
    <w:name w:val="Table Para"/>
    <w:autoRedefine/>
    <w:semiHidden/>
    <w:rsid w:val="00954FB7"/>
    <w:pPr>
      <w:numPr>
        <w:numId w:val="9"/>
      </w:numPr>
      <w:spacing w:before="120" w:after="120"/>
      <w:jc w:val="both"/>
    </w:pPr>
    <w:rPr>
      <w:rFonts w:ascii="Arial" w:hAnsi="Arial"/>
      <w:noProof/>
      <w:lang w:val="en-US" w:eastAsia="en-US"/>
    </w:rPr>
  </w:style>
  <w:style w:type="paragraph" w:customStyle="1" w:styleId="TableStyle">
    <w:name w:val="Table Style"/>
    <w:basedOn w:val="Normal"/>
    <w:autoRedefine/>
    <w:semiHidden/>
    <w:rsid w:val="00954FB7"/>
  </w:style>
  <w:style w:type="paragraph" w:customStyle="1" w:styleId="TableSubpara">
    <w:name w:val="Table Subpara"/>
    <w:autoRedefine/>
    <w:semiHidden/>
    <w:rsid w:val="00954FB7"/>
    <w:pPr>
      <w:spacing w:before="120" w:after="120"/>
      <w:ind w:left="568" w:hanging="568"/>
      <w:jc w:val="both"/>
    </w:pPr>
    <w:rPr>
      <w:rFonts w:ascii="Arial" w:hAnsi="Arial"/>
      <w:noProof/>
      <w:lang w:val="en-US" w:eastAsia="en-US"/>
    </w:rPr>
  </w:style>
  <w:style w:type="paragraph" w:customStyle="1" w:styleId="Indentlist">
    <w:name w:val="Indent list"/>
    <w:basedOn w:val="Normal"/>
    <w:rsid w:val="00954FB7"/>
    <w:pPr>
      <w:numPr>
        <w:numId w:val="10"/>
      </w:numPr>
      <w:tabs>
        <w:tab w:val="left" w:pos="1701"/>
      </w:tabs>
    </w:pPr>
  </w:style>
  <w:style w:type="paragraph" w:customStyle="1" w:styleId="Level11fo">
    <w:name w:val="Level 1.1fo"/>
    <w:basedOn w:val="Normal"/>
    <w:rsid w:val="00954FB7"/>
    <w:pPr>
      <w:spacing w:before="200" w:after="0" w:line="240" w:lineRule="atLeast"/>
      <w:ind w:left="720"/>
    </w:pPr>
    <w:rPr>
      <w:rFonts w:eastAsia="SimSun"/>
      <w:szCs w:val="20"/>
      <w:lang w:eastAsia="zh-CN"/>
    </w:rPr>
  </w:style>
  <w:style w:type="character" w:customStyle="1" w:styleId="ArialBold10">
    <w:name w:val="ArialBold10"/>
    <w:rsid w:val="00954FB7"/>
    <w:rPr>
      <w:rFonts w:ascii="Arial" w:hAnsi="Arial" w:cs="Arial"/>
      <w:b/>
      <w:sz w:val="20"/>
    </w:rPr>
  </w:style>
  <w:style w:type="character" w:customStyle="1" w:styleId="SC430">
    <w:name w:val="SC430"/>
    <w:rsid w:val="00954FB7"/>
    <w:rPr>
      <w:rFonts w:cs="Arial"/>
      <w:color w:val="000000"/>
      <w:sz w:val="20"/>
      <w:szCs w:val="20"/>
    </w:rPr>
  </w:style>
  <w:style w:type="character" w:customStyle="1" w:styleId="CharChar5">
    <w:name w:val="Char Char5"/>
    <w:semiHidden/>
    <w:rsid w:val="00954FB7"/>
    <w:rPr>
      <w:rFonts w:ascii="Arial" w:eastAsia="Calibri" w:hAnsi="Arial"/>
      <w:szCs w:val="22"/>
      <w:lang w:eastAsia="en-US"/>
    </w:rPr>
  </w:style>
  <w:style w:type="character" w:styleId="Emphasis">
    <w:name w:val="Emphasis"/>
    <w:qFormat/>
    <w:rsid w:val="00477103"/>
    <w:rPr>
      <w:i/>
      <w:iCs/>
    </w:rPr>
  </w:style>
  <w:style w:type="character" w:customStyle="1" w:styleId="CommentTextChar1">
    <w:name w:val="Comment Text Char1"/>
    <w:semiHidden/>
    <w:rsid w:val="00036157"/>
    <w:rPr>
      <w:rFonts w:ascii="Arial" w:eastAsia="Calibri" w:hAnsi="Arial"/>
      <w:szCs w:val="22"/>
      <w:lang w:eastAsia="en-US"/>
    </w:rPr>
  </w:style>
  <w:style w:type="paragraph" w:customStyle="1" w:styleId="AppendixListPlural">
    <w:name w:val="AppendixListPlural"/>
    <w:basedOn w:val="Normal"/>
    <w:rsid w:val="00BE1AE4"/>
    <w:pPr>
      <w:tabs>
        <w:tab w:val="left" w:pos="567"/>
        <w:tab w:val="left" w:pos="1134"/>
        <w:tab w:val="left" w:pos="1701"/>
        <w:tab w:val="left" w:pos="1985"/>
        <w:tab w:val="left" w:pos="2268"/>
        <w:tab w:val="left" w:pos="2835"/>
      </w:tabs>
      <w:spacing w:before="240" w:after="0"/>
    </w:pPr>
    <w:rPr>
      <w:b/>
      <w:szCs w:val="20"/>
    </w:rPr>
  </w:style>
  <w:style w:type="character" w:customStyle="1" w:styleId="CommentTextChar">
    <w:name w:val="Comment Text Char"/>
    <w:locked/>
    <w:rsid w:val="00771C81"/>
    <w:rPr>
      <w:rFonts w:eastAsia="Times New Roman" w:cs="Times New Roman"/>
    </w:rPr>
  </w:style>
  <w:style w:type="paragraph" w:customStyle="1" w:styleId="CUNumber3">
    <w:name w:val="CU_Number3"/>
    <w:basedOn w:val="Normal"/>
    <w:rsid w:val="00771C81"/>
    <w:pPr>
      <w:tabs>
        <w:tab w:val="num" w:pos="851"/>
        <w:tab w:val="num" w:pos="1928"/>
      </w:tabs>
      <w:spacing w:after="240"/>
      <w:ind w:left="1928" w:hanging="964"/>
      <w:outlineLvl w:val="2"/>
    </w:pPr>
    <w:rPr>
      <w:szCs w:val="20"/>
    </w:rPr>
  </w:style>
  <w:style w:type="paragraph" w:customStyle="1" w:styleId="COTCOCLV2-ASDEFCON">
    <w:name w:val="COT/COC LV2 - ASDEFCON"/>
    <w:basedOn w:val="ASDEFCONNormal"/>
    <w:next w:val="COTCOCLV3-ASDEFCON"/>
    <w:rsid w:val="006F19DE"/>
    <w:pPr>
      <w:keepNext/>
      <w:keepLines/>
      <w:numPr>
        <w:ilvl w:val="1"/>
        <w:numId w:val="11"/>
      </w:numPr>
      <w:pBdr>
        <w:bottom w:val="single" w:sz="4" w:space="1" w:color="auto"/>
      </w:pBdr>
    </w:pPr>
    <w:rPr>
      <w:b/>
    </w:rPr>
  </w:style>
  <w:style w:type="paragraph" w:customStyle="1" w:styleId="COTCOCLV3-ASDEFCON">
    <w:name w:val="COT/COC LV3 - ASDEFCON"/>
    <w:basedOn w:val="ASDEFCONNormal"/>
    <w:rsid w:val="006F19DE"/>
    <w:pPr>
      <w:numPr>
        <w:ilvl w:val="2"/>
        <w:numId w:val="11"/>
      </w:numPr>
    </w:pPr>
  </w:style>
  <w:style w:type="paragraph" w:customStyle="1" w:styleId="COTCOCLV1-ASDEFCON">
    <w:name w:val="COT/COC LV1 - ASDEFCON"/>
    <w:basedOn w:val="ASDEFCONNormal"/>
    <w:next w:val="COTCOCLV2-ASDEFCON"/>
    <w:rsid w:val="006F19DE"/>
    <w:pPr>
      <w:keepNext/>
      <w:keepLines/>
      <w:numPr>
        <w:numId w:val="11"/>
      </w:numPr>
      <w:spacing w:before="240"/>
    </w:pPr>
    <w:rPr>
      <w:b/>
      <w:caps/>
    </w:rPr>
  </w:style>
  <w:style w:type="paragraph" w:customStyle="1" w:styleId="COTCOCLV4-ASDEFCON">
    <w:name w:val="COT/COC LV4 - ASDEFCON"/>
    <w:basedOn w:val="ASDEFCONNormal"/>
    <w:rsid w:val="006F19DE"/>
    <w:pPr>
      <w:numPr>
        <w:ilvl w:val="3"/>
        <w:numId w:val="11"/>
      </w:numPr>
    </w:pPr>
  </w:style>
  <w:style w:type="paragraph" w:customStyle="1" w:styleId="COTCOCLV5-ASDEFCON">
    <w:name w:val="COT/COC LV5 - ASDEFCON"/>
    <w:basedOn w:val="ASDEFCONNormal"/>
    <w:rsid w:val="006F19DE"/>
    <w:pPr>
      <w:numPr>
        <w:ilvl w:val="4"/>
        <w:numId w:val="11"/>
      </w:numPr>
    </w:pPr>
  </w:style>
  <w:style w:type="paragraph" w:customStyle="1" w:styleId="COTCOCLV6-ASDEFCON">
    <w:name w:val="COT/COC LV6 - ASDEFCON"/>
    <w:basedOn w:val="ASDEFCONNormal"/>
    <w:rsid w:val="006F19DE"/>
    <w:pPr>
      <w:keepLines/>
      <w:numPr>
        <w:ilvl w:val="5"/>
        <w:numId w:val="11"/>
      </w:numPr>
    </w:pPr>
  </w:style>
  <w:style w:type="paragraph" w:customStyle="1" w:styleId="ASDEFCONOption">
    <w:name w:val="ASDEFCON Option"/>
    <w:basedOn w:val="ASDEFCONNormal"/>
    <w:rsid w:val="006F19DE"/>
    <w:pPr>
      <w:keepNext/>
      <w:spacing w:before="60"/>
    </w:pPr>
    <w:rPr>
      <w:b/>
      <w:i/>
      <w:szCs w:val="24"/>
    </w:rPr>
  </w:style>
  <w:style w:type="paragraph" w:customStyle="1" w:styleId="NoteToDrafters-ASDEFCON">
    <w:name w:val="Note To Drafters - ASDEFCON"/>
    <w:basedOn w:val="ASDEFCONNormal"/>
    <w:rsid w:val="006F19DE"/>
    <w:pPr>
      <w:keepNext/>
      <w:shd w:val="clear" w:color="auto" w:fill="000000"/>
    </w:pPr>
    <w:rPr>
      <w:b/>
      <w:i/>
      <w:color w:val="FFFFFF"/>
    </w:rPr>
  </w:style>
  <w:style w:type="paragraph" w:customStyle="1" w:styleId="NoteToTenderers-ASDEFCON">
    <w:name w:val="Note To Tenderers - ASDEFCON"/>
    <w:basedOn w:val="ASDEFCONNormal"/>
    <w:link w:val="NoteToTenderers-ASDEFCONChar"/>
    <w:rsid w:val="006F19DE"/>
    <w:pPr>
      <w:keepNext/>
      <w:shd w:val="pct15" w:color="auto" w:fill="auto"/>
    </w:pPr>
    <w:rPr>
      <w:b/>
      <w:i/>
    </w:rPr>
  </w:style>
  <w:style w:type="paragraph" w:customStyle="1" w:styleId="ASDEFCONTitle">
    <w:name w:val="ASDEFCON Title"/>
    <w:basedOn w:val="Normal"/>
    <w:rsid w:val="006F19DE"/>
    <w:pPr>
      <w:keepLines/>
      <w:spacing w:before="240"/>
      <w:jc w:val="center"/>
    </w:pPr>
    <w:rPr>
      <w:b/>
      <w:caps/>
    </w:rPr>
  </w:style>
  <w:style w:type="paragraph" w:customStyle="1" w:styleId="ATTANNLV1-ASDEFCON">
    <w:name w:val="ATT/ANN LV1 - ASDEFCON"/>
    <w:basedOn w:val="ASDEFCONNormal"/>
    <w:next w:val="ATTANNLV2-ASDEFCON"/>
    <w:rsid w:val="006F19DE"/>
    <w:pPr>
      <w:keepNext/>
      <w:keepLines/>
      <w:numPr>
        <w:numId w:val="31"/>
      </w:numPr>
      <w:spacing w:before="240"/>
    </w:pPr>
    <w:rPr>
      <w:rFonts w:ascii="Arial Bold" w:hAnsi="Arial Bold"/>
      <w:b/>
      <w:caps/>
      <w:szCs w:val="24"/>
    </w:rPr>
  </w:style>
  <w:style w:type="paragraph" w:customStyle="1" w:styleId="ATTANNLV2-ASDEFCON">
    <w:name w:val="ATT/ANN LV2 - ASDEFCON"/>
    <w:basedOn w:val="ASDEFCONNormal"/>
    <w:link w:val="ATTANNLV2-ASDEFCONChar"/>
    <w:rsid w:val="006F19DE"/>
    <w:pPr>
      <w:numPr>
        <w:ilvl w:val="1"/>
        <w:numId w:val="31"/>
      </w:numPr>
    </w:pPr>
    <w:rPr>
      <w:szCs w:val="24"/>
    </w:rPr>
  </w:style>
  <w:style w:type="character" w:customStyle="1" w:styleId="ATTANNLV2-ASDEFCONChar">
    <w:name w:val="ATT/ANN LV2 - ASDEFCON Char"/>
    <w:link w:val="ATTANNLV2-ASDEFCON"/>
    <w:rsid w:val="006F19DE"/>
    <w:rPr>
      <w:rFonts w:ascii="Arial" w:hAnsi="Arial"/>
      <w:color w:val="000000"/>
      <w:szCs w:val="24"/>
    </w:rPr>
  </w:style>
  <w:style w:type="paragraph" w:customStyle="1" w:styleId="ATTANNLV3-ASDEFCON">
    <w:name w:val="ATT/ANN LV3 - ASDEFCON"/>
    <w:basedOn w:val="ASDEFCONNormal"/>
    <w:rsid w:val="006F19DE"/>
    <w:pPr>
      <w:numPr>
        <w:ilvl w:val="2"/>
        <w:numId w:val="31"/>
      </w:numPr>
    </w:pPr>
    <w:rPr>
      <w:szCs w:val="24"/>
    </w:rPr>
  </w:style>
  <w:style w:type="paragraph" w:customStyle="1" w:styleId="ATTANNLV4-ASDEFCON">
    <w:name w:val="ATT/ANN LV4 - ASDEFCON"/>
    <w:basedOn w:val="ASDEFCONNormal"/>
    <w:rsid w:val="006F19DE"/>
    <w:pPr>
      <w:numPr>
        <w:ilvl w:val="3"/>
        <w:numId w:val="31"/>
      </w:numPr>
    </w:pPr>
    <w:rPr>
      <w:szCs w:val="24"/>
    </w:rPr>
  </w:style>
  <w:style w:type="paragraph" w:customStyle="1" w:styleId="ASDEFCONCoverTitle">
    <w:name w:val="ASDEFCON Cover Title"/>
    <w:rsid w:val="006F19DE"/>
    <w:pPr>
      <w:jc w:val="center"/>
    </w:pPr>
    <w:rPr>
      <w:rFonts w:ascii="Georgia" w:hAnsi="Georgia"/>
      <w:b/>
      <w:color w:val="000000"/>
      <w:sz w:val="100"/>
      <w:szCs w:val="24"/>
    </w:rPr>
  </w:style>
  <w:style w:type="paragraph" w:customStyle="1" w:styleId="ASDEFCONHeaderFooterLeft">
    <w:name w:val="ASDEFCON Header/Footer Left"/>
    <w:basedOn w:val="ASDEFCONNormal"/>
    <w:rsid w:val="006F19DE"/>
    <w:pPr>
      <w:spacing w:after="0"/>
      <w:jc w:val="left"/>
    </w:pPr>
    <w:rPr>
      <w:sz w:val="16"/>
      <w:szCs w:val="24"/>
    </w:rPr>
  </w:style>
  <w:style w:type="paragraph" w:customStyle="1" w:styleId="ASDEFCONCoverPageIncorp">
    <w:name w:val="ASDEFCON Cover Page Incorp"/>
    <w:rsid w:val="006F19DE"/>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6F19DE"/>
    <w:rPr>
      <w:b/>
      <w:i/>
    </w:rPr>
  </w:style>
  <w:style w:type="paragraph" w:customStyle="1" w:styleId="COTCOCLV2NONUM-ASDEFCON">
    <w:name w:val="COT/COC LV2 NONUM - ASDEFCON"/>
    <w:basedOn w:val="COTCOCLV2-ASDEFCON"/>
    <w:next w:val="COTCOCLV3-ASDEFCON"/>
    <w:rsid w:val="006F19DE"/>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6F19DE"/>
    <w:pPr>
      <w:keepNext w:val="0"/>
      <w:numPr>
        <w:numId w:val="0"/>
      </w:numPr>
      <w:ind w:left="851"/>
    </w:pPr>
    <w:rPr>
      <w:bCs/>
      <w:szCs w:val="20"/>
    </w:rPr>
  </w:style>
  <w:style w:type="paragraph" w:customStyle="1" w:styleId="COTCOCLV3NONUM-ASDEFCON">
    <w:name w:val="COT/COC LV3 NONUM - ASDEFCON"/>
    <w:basedOn w:val="COTCOCLV3-ASDEFCON"/>
    <w:next w:val="COTCOCLV3-ASDEFCON"/>
    <w:rsid w:val="006F19DE"/>
    <w:pPr>
      <w:numPr>
        <w:ilvl w:val="0"/>
        <w:numId w:val="0"/>
      </w:numPr>
      <w:ind w:left="851"/>
    </w:pPr>
    <w:rPr>
      <w:szCs w:val="20"/>
    </w:rPr>
  </w:style>
  <w:style w:type="paragraph" w:customStyle="1" w:styleId="COTCOCLV4NONUM-ASDEFCON">
    <w:name w:val="COT/COC LV4 NONUM - ASDEFCON"/>
    <w:basedOn w:val="COTCOCLV4-ASDEFCON"/>
    <w:next w:val="COTCOCLV4-ASDEFCON"/>
    <w:rsid w:val="006F19DE"/>
    <w:pPr>
      <w:numPr>
        <w:ilvl w:val="0"/>
        <w:numId w:val="0"/>
      </w:numPr>
      <w:ind w:left="1418"/>
    </w:pPr>
    <w:rPr>
      <w:szCs w:val="20"/>
    </w:rPr>
  </w:style>
  <w:style w:type="paragraph" w:customStyle="1" w:styleId="COTCOCLV5NONUM-ASDEFCON">
    <w:name w:val="COT/COC LV5 NONUM - ASDEFCON"/>
    <w:basedOn w:val="COTCOCLV5-ASDEFCON"/>
    <w:next w:val="COTCOCLV5-ASDEFCON"/>
    <w:rsid w:val="006F19DE"/>
    <w:pPr>
      <w:numPr>
        <w:ilvl w:val="0"/>
        <w:numId w:val="0"/>
      </w:numPr>
      <w:ind w:left="1985"/>
    </w:pPr>
    <w:rPr>
      <w:szCs w:val="20"/>
    </w:rPr>
  </w:style>
  <w:style w:type="paragraph" w:customStyle="1" w:styleId="COTCOCLV6NONUM-ASDEFCON">
    <w:name w:val="COT/COC LV6 NONUM - ASDEFCON"/>
    <w:basedOn w:val="COTCOCLV6-ASDEFCON"/>
    <w:next w:val="COTCOCLV6-ASDEFCON"/>
    <w:rsid w:val="006F19DE"/>
    <w:pPr>
      <w:numPr>
        <w:ilvl w:val="0"/>
        <w:numId w:val="0"/>
      </w:numPr>
      <w:ind w:left="2552"/>
    </w:pPr>
    <w:rPr>
      <w:szCs w:val="20"/>
    </w:rPr>
  </w:style>
  <w:style w:type="paragraph" w:customStyle="1" w:styleId="ATTANNLV1NONUM-ASDEFCON">
    <w:name w:val="ATT/ANN LV1 NONUM - ASDEFCON"/>
    <w:basedOn w:val="ATTANNLV1-ASDEFCON"/>
    <w:next w:val="ATTANNLV2-ASDEFCON"/>
    <w:rsid w:val="006F19DE"/>
    <w:pPr>
      <w:numPr>
        <w:numId w:val="0"/>
      </w:numPr>
      <w:ind w:left="851"/>
    </w:pPr>
    <w:rPr>
      <w:bCs/>
      <w:szCs w:val="20"/>
    </w:rPr>
  </w:style>
  <w:style w:type="paragraph" w:customStyle="1" w:styleId="ATTANNLV2NONUM-ASDEFCON">
    <w:name w:val="ATT/ANN LV2 NONUM - ASDEFCON"/>
    <w:basedOn w:val="ATTANNLV2-ASDEFCON"/>
    <w:next w:val="ATTANNLV2-ASDEFCON"/>
    <w:rsid w:val="006F19DE"/>
    <w:pPr>
      <w:numPr>
        <w:ilvl w:val="0"/>
        <w:numId w:val="0"/>
      </w:numPr>
      <w:ind w:left="851"/>
    </w:pPr>
    <w:rPr>
      <w:szCs w:val="20"/>
    </w:rPr>
  </w:style>
  <w:style w:type="paragraph" w:customStyle="1" w:styleId="ATTANNLV3NONUM-ASDEFCON">
    <w:name w:val="ATT/ANN LV3 NONUM - ASDEFCON"/>
    <w:basedOn w:val="ATTANNLV3-ASDEFCON"/>
    <w:next w:val="ATTANNLV3-ASDEFCON"/>
    <w:rsid w:val="006F19DE"/>
    <w:pPr>
      <w:numPr>
        <w:ilvl w:val="0"/>
        <w:numId w:val="0"/>
      </w:numPr>
      <w:ind w:left="1418"/>
    </w:pPr>
    <w:rPr>
      <w:szCs w:val="20"/>
    </w:rPr>
  </w:style>
  <w:style w:type="paragraph" w:customStyle="1" w:styleId="ATTANNLV4NONUM-ASDEFCON">
    <w:name w:val="ATT/ANN LV4 NONUM - ASDEFCON"/>
    <w:basedOn w:val="ATTANNLV4-ASDEFCON"/>
    <w:next w:val="ATTANNLV4-ASDEFCON"/>
    <w:rsid w:val="006F19DE"/>
    <w:pPr>
      <w:numPr>
        <w:ilvl w:val="0"/>
        <w:numId w:val="0"/>
      </w:numPr>
      <w:ind w:left="1985"/>
    </w:pPr>
    <w:rPr>
      <w:szCs w:val="20"/>
    </w:rPr>
  </w:style>
  <w:style w:type="paragraph" w:customStyle="1" w:styleId="NoteToDraftersBullets-ASDEFCON">
    <w:name w:val="Note To Drafters Bullets - ASDEFCON"/>
    <w:basedOn w:val="NoteToDrafters-ASDEFCON"/>
    <w:rsid w:val="006F19DE"/>
    <w:pPr>
      <w:numPr>
        <w:numId w:val="12"/>
      </w:numPr>
    </w:pPr>
    <w:rPr>
      <w:bCs/>
      <w:iCs/>
      <w:szCs w:val="20"/>
    </w:rPr>
  </w:style>
  <w:style w:type="paragraph" w:customStyle="1" w:styleId="NoteToDraftersList-ASDEFCON">
    <w:name w:val="Note To Drafters List - ASDEFCON"/>
    <w:basedOn w:val="NoteToDrafters-ASDEFCON"/>
    <w:rsid w:val="006F19DE"/>
    <w:pPr>
      <w:numPr>
        <w:numId w:val="13"/>
      </w:numPr>
    </w:pPr>
    <w:rPr>
      <w:bCs/>
      <w:iCs/>
      <w:szCs w:val="20"/>
    </w:rPr>
  </w:style>
  <w:style w:type="paragraph" w:customStyle="1" w:styleId="NoteToTenderersBullets-ASDEFCON">
    <w:name w:val="Note To Tenderers Bullets - ASDEFCON"/>
    <w:basedOn w:val="NoteToTenderers-ASDEFCON"/>
    <w:rsid w:val="006F19DE"/>
    <w:pPr>
      <w:numPr>
        <w:numId w:val="14"/>
      </w:numPr>
    </w:pPr>
    <w:rPr>
      <w:bCs/>
      <w:iCs/>
      <w:szCs w:val="20"/>
    </w:rPr>
  </w:style>
  <w:style w:type="paragraph" w:customStyle="1" w:styleId="NoteToTenderersList-ASDEFCON">
    <w:name w:val="Note To Tenderers List - ASDEFCON"/>
    <w:basedOn w:val="NoteToTenderers-ASDEFCON"/>
    <w:rsid w:val="006F19DE"/>
    <w:pPr>
      <w:numPr>
        <w:numId w:val="15"/>
      </w:numPr>
    </w:pPr>
    <w:rPr>
      <w:bCs/>
      <w:iCs/>
      <w:szCs w:val="20"/>
    </w:rPr>
  </w:style>
  <w:style w:type="paragraph" w:customStyle="1" w:styleId="SOWHL1-ASDEFCON">
    <w:name w:val="SOW HL1 - ASDEFCON"/>
    <w:basedOn w:val="ASDEFCONNormal"/>
    <w:next w:val="SOWHL2-ASDEFCON"/>
    <w:qFormat/>
    <w:rsid w:val="006F19DE"/>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6F19DE"/>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6F19DE"/>
    <w:pPr>
      <w:keepNext/>
      <w:numPr>
        <w:ilvl w:val="2"/>
        <w:numId w:val="2"/>
      </w:numPr>
    </w:pPr>
    <w:rPr>
      <w:rFonts w:eastAsia="Calibri"/>
      <w:b/>
      <w:szCs w:val="22"/>
      <w:lang w:eastAsia="en-US"/>
    </w:rPr>
  </w:style>
  <w:style w:type="paragraph" w:customStyle="1" w:styleId="SOWHL4-ASDEFCON">
    <w:name w:val="SOW HL4 - ASDEFCON"/>
    <w:basedOn w:val="ASDEFCONNormal"/>
    <w:qFormat/>
    <w:rsid w:val="006F19DE"/>
    <w:pPr>
      <w:keepNext/>
      <w:numPr>
        <w:ilvl w:val="3"/>
        <w:numId w:val="2"/>
      </w:numPr>
    </w:pPr>
    <w:rPr>
      <w:rFonts w:eastAsia="Calibri"/>
      <w:b/>
      <w:szCs w:val="22"/>
      <w:lang w:eastAsia="en-US"/>
    </w:rPr>
  </w:style>
  <w:style w:type="paragraph" w:customStyle="1" w:styleId="SOWHL5-ASDEFCON">
    <w:name w:val="SOW HL5 - ASDEFCON"/>
    <w:basedOn w:val="ASDEFCONNormal"/>
    <w:qFormat/>
    <w:rsid w:val="006F19DE"/>
    <w:pPr>
      <w:keepNext/>
      <w:numPr>
        <w:ilvl w:val="4"/>
        <w:numId w:val="2"/>
      </w:numPr>
    </w:pPr>
    <w:rPr>
      <w:rFonts w:eastAsia="Calibri"/>
      <w:b/>
      <w:szCs w:val="22"/>
      <w:lang w:eastAsia="en-US"/>
    </w:rPr>
  </w:style>
  <w:style w:type="paragraph" w:customStyle="1" w:styleId="SOWSubL1-ASDEFCON">
    <w:name w:val="SOW SubL1 - ASDEFCON"/>
    <w:basedOn w:val="ASDEFCONNormal"/>
    <w:qFormat/>
    <w:rsid w:val="006F19DE"/>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6F19DE"/>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6F19DE"/>
    <w:pPr>
      <w:numPr>
        <w:ilvl w:val="0"/>
        <w:numId w:val="0"/>
      </w:numPr>
      <w:ind w:left="1134"/>
    </w:pPr>
    <w:rPr>
      <w:rFonts w:eastAsia="Times New Roman"/>
      <w:bCs/>
      <w:szCs w:val="20"/>
    </w:rPr>
  </w:style>
  <w:style w:type="paragraph" w:customStyle="1" w:styleId="SOWTL2-ASDEFCON">
    <w:name w:val="SOW TL2 - ASDEFCON"/>
    <w:basedOn w:val="SOWHL2-ASDEFCON"/>
    <w:rsid w:val="006F19DE"/>
    <w:pPr>
      <w:keepNext w:val="0"/>
      <w:pBdr>
        <w:bottom w:val="none" w:sz="0" w:space="0" w:color="auto"/>
      </w:pBdr>
    </w:pPr>
    <w:rPr>
      <w:b w:val="0"/>
    </w:rPr>
  </w:style>
  <w:style w:type="paragraph" w:customStyle="1" w:styleId="SOWTL3NONUM-ASDEFCON">
    <w:name w:val="SOW TL3 NONUM - ASDEFCON"/>
    <w:basedOn w:val="SOWTL3-ASDEFCON"/>
    <w:next w:val="SOWTL3-ASDEFCON"/>
    <w:rsid w:val="006F19DE"/>
    <w:pPr>
      <w:numPr>
        <w:ilvl w:val="0"/>
        <w:numId w:val="0"/>
      </w:numPr>
      <w:ind w:left="1134"/>
    </w:pPr>
    <w:rPr>
      <w:rFonts w:eastAsia="Times New Roman"/>
      <w:bCs/>
      <w:szCs w:val="20"/>
    </w:rPr>
  </w:style>
  <w:style w:type="paragraph" w:customStyle="1" w:styleId="SOWTL3-ASDEFCON">
    <w:name w:val="SOW TL3 - ASDEFCON"/>
    <w:basedOn w:val="SOWHL3-ASDEFCON"/>
    <w:rsid w:val="006F19DE"/>
    <w:pPr>
      <w:keepNext w:val="0"/>
    </w:pPr>
    <w:rPr>
      <w:b w:val="0"/>
    </w:rPr>
  </w:style>
  <w:style w:type="paragraph" w:customStyle="1" w:styleId="SOWTL4NONUM-ASDEFCON">
    <w:name w:val="SOW TL4 NONUM - ASDEFCON"/>
    <w:basedOn w:val="SOWTL4-ASDEFCON"/>
    <w:next w:val="SOWTL4-ASDEFCON"/>
    <w:rsid w:val="006F19DE"/>
    <w:pPr>
      <w:numPr>
        <w:ilvl w:val="0"/>
        <w:numId w:val="0"/>
      </w:numPr>
      <w:ind w:left="1134"/>
    </w:pPr>
    <w:rPr>
      <w:rFonts w:eastAsia="Times New Roman"/>
      <w:bCs/>
      <w:szCs w:val="20"/>
    </w:rPr>
  </w:style>
  <w:style w:type="paragraph" w:customStyle="1" w:styleId="SOWTL4-ASDEFCON">
    <w:name w:val="SOW TL4 - ASDEFCON"/>
    <w:basedOn w:val="SOWHL4-ASDEFCON"/>
    <w:rsid w:val="006F19DE"/>
    <w:pPr>
      <w:keepNext w:val="0"/>
    </w:pPr>
    <w:rPr>
      <w:b w:val="0"/>
    </w:rPr>
  </w:style>
  <w:style w:type="paragraph" w:customStyle="1" w:styleId="SOWTL5NONUM-ASDEFCON">
    <w:name w:val="SOW TL5 NONUM - ASDEFCON"/>
    <w:basedOn w:val="SOWHL5-ASDEFCON"/>
    <w:next w:val="SOWTL5-ASDEFCON"/>
    <w:rsid w:val="006F19DE"/>
    <w:pPr>
      <w:keepNext w:val="0"/>
      <w:numPr>
        <w:ilvl w:val="0"/>
        <w:numId w:val="0"/>
      </w:numPr>
      <w:ind w:left="1134"/>
    </w:pPr>
    <w:rPr>
      <w:b w:val="0"/>
    </w:rPr>
  </w:style>
  <w:style w:type="paragraph" w:customStyle="1" w:styleId="SOWTL5-ASDEFCON">
    <w:name w:val="SOW TL5 - ASDEFCON"/>
    <w:basedOn w:val="SOWHL5-ASDEFCON"/>
    <w:rsid w:val="006F19DE"/>
    <w:pPr>
      <w:keepNext w:val="0"/>
    </w:pPr>
    <w:rPr>
      <w:b w:val="0"/>
    </w:rPr>
  </w:style>
  <w:style w:type="paragraph" w:customStyle="1" w:styleId="SOWSubL2-ASDEFCON">
    <w:name w:val="SOW SubL2 - ASDEFCON"/>
    <w:basedOn w:val="ASDEFCONNormal"/>
    <w:qFormat/>
    <w:rsid w:val="006F19DE"/>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6F19DE"/>
    <w:pPr>
      <w:numPr>
        <w:numId w:val="0"/>
      </w:numPr>
      <w:ind w:left="1701"/>
    </w:pPr>
  </w:style>
  <w:style w:type="paragraph" w:customStyle="1" w:styleId="SOWSubL2NONUM-ASDEFCON">
    <w:name w:val="SOW SubL2 NONUM - ASDEFCON"/>
    <w:basedOn w:val="SOWSubL2-ASDEFCON"/>
    <w:next w:val="SOWSubL2-ASDEFCON"/>
    <w:qFormat/>
    <w:rsid w:val="006F19DE"/>
    <w:pPr>
      <w:numPr>
        <w:ilvl w:val="0"/>
        <w:numId w:val="0"/>
      </w:numPr>
      <w:ind w:left="2268"/>
    </w:pPr>
  </w:style>
  <w:style w:type="paragraph" w:customStyle="1" w:styleId="ASDEFCONTextBlock">
    <w:name w:val="ASDEFCON TextBlock"/>
    <w:basedOn w:val="ASDEFCONNormal"/>
    <w:qFormat/>
    <w:rsid w:val="006F19DE"/>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6F19DE"/>
    <w:pPr>
      <w:numPr>
        <w:numId w:val="16"/>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6F19DE"/>
    <w:pPr>
      <w:keepNext/>
      <w:spacing w:before="240"/>
    </w:pPr>
    <w:rPr>
      <w:rFonts w:ascii="Arial Bold" w:hAnsi="Arial Bold"/>
      <w:b/>
      <w:bCs/>
      <w:caps/>
      <w:szCs w:val="20"/>
    </w:rPr>
  </w:style>
  <w:style w:type="paragraph" w:customStyle="1" w:styleId="Table8ptHeading-ASDEFCON">
    <w:name w:val="Table 8pt Heading - ASDEFCON"/>
    <w:basedOn w:val="ASDEFCONNormal"/>
    <w:rsid w:val="006F19DE"/>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6F19DE"/>
    <w:pPr>
      <w:numPr>
        <w:numId w:val="25"/>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6F19DE"/>
    <w:pPr>
      <w:numPr>
        <w:numId w:val="26"/>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6F19DE"/>
    <w:rPr>
      <w:rFonts w:ascii="Arial" w:eastAsia="Calibri" w:hAnsi="Arial"/>
      <w:color w:val="000000"/>
      <w:szCs w:val="22"/>
      <w:lang w:eastAsia="en-US"/>
    </w:rPr>
  </w:style>
  <w:style w:type="paragraph" w:customStyle="1" w:styleId="Table8ptSub1-ASDEFCON">
    <w:name w:val="Table 8pt Sub1 - ASDEFCON"/>
    <w:basedOn w:val="Table8ptText-ASDEFCON"/>
    <w:rsid w:val="006F19DE"/>
    <w:pPr>
      <w:numPr>
        <w:ilvl w:val="1"/>
      </w:numPr>
    </w:pPr>
  </w:style>
  <w:style w:type="paragraph" w:customStyle="1" w:styleId="Table8ptSub2-ASDEFCON">
    <w:name w:val="Table 8pt Sub2 - ASDEFCON"/>
    <w:basedOn w:val="Table8ptText-ASDEFCON"/>
    <w:rsid w:val="006F19DE"/>
    <w:pPr>
      <w:numPr>
        <w:ilvl w:val="2"/>
      </w:numPr>
    </w:pPr>
  </w:style>
  <w:style w:type="paragraph" w:customStyle="1" w:styleId="Table10ptHeading-ASDEFCON">
    <w:name w:val="Table 10pt Heading - ASDEFCON"/>
    <w:basedOn w:val="ASDEFCONNormal"/>
    <w:link w:val="Table10ptHeading-ASDEFCONChar"/>
    <w:rsid w:val="006F19DE"/>
    <w:pPr>
      <w:keepNext/>
      <w:spacing w:before="60" w:after="60"/>
      <w:jc w:val="center"/>
    </w:pPr>
    <w:rPr>
      <w:b/>
    </w:rPr>
  </w:style>
  <w:style w:type="paragraph" w:customStyle="1" w:styleId="Table8ptBP1-ASDEFCON">
    <w:name w:val="Table 8pt BP1 - ASDEFCON"/>
    <w:basedOn w:val="Table8ptText-ASDEFCON"/>
    <w:rsid w:val="006F19DE"/>
    <w:pPr>
      <w:numPr>
        <w:numId w:val="17"/>
      </w:numPr>
      <w:tabs>
        <w:tab w:val="clear" w:pos="284"/>
      </w:tabs>
    </w:pPr>
  </w:style>
  <w:style w:type="paragraph" w:customStyle="1" w:styleId="Table8ptBP2-ASDEFCON">
    <w:name w:val="Table 8pt BP2 - ASDEFCON"/>
    <w:basedOn w:val="Table8ptText-ASDEFCON"/>
    <w:rsid w:val="006F19DE"/>
    <w:pPr>
      <w:numPr>
        <w:ilvl w:val="1"/>
        <w:numId w:val="17"/>
      </w:numPr>
      <w:tabs>
        <w:tab w:val="clear" w:pos="284"/>
      </w:tabs>
    </w:pPr>
    <w:rPr>
      <w:iCs/>
    </w:rPr>
  </w:style>
  <w:style w:type="paragraph" w:customStyle="1" w:styleId="ASDEFCONBulletsLV1">
    <w:name w:val="ASDEFCON Bullets LV1"/>
    <w:basedOn w:val="ASDEFCONNormal"/>
    <w:rsid w:val="006F19DE"/>
    <w:pPr>
      <w:numPr>
        <w:numId w:val="19"/>
      </w:numPr>
    </w:pPr>
    <w:rPr>
      <w:rFonts w:eastAsia="Calibri"/>
      <w:szCs w:val="22"/>
      <w:lang w:eastAsia="en-US"/>
    </w:rPr>
  </w:style>
  <w:style w:type="paragraph" w:customStyle="1" w:styleId="Table10ptSub1-ASDEFCON">
    <w:name w:val="Table 10pt Sub1 - ASDEFCON"/>
    <w:basedOn w:val="Table10ptText-ASDEFCON"/>
    <w:rsid w:val="006F19DE"/>
    <w:pPr>
      <w:numPr>
        <w:ilvl w:val="1"/>
      </w:numPr>
      <w:jc w:val="both"/>
    </w:pPr>
  </w:style>
  <w:style w:type="paragraph" w:customStyle="1" w:styleId="Table10ptSub2-ASDEFCON">
    <w:name w:val="Table 10pt Sub2 - ASDEFCON"/>
    <w:basedOn w:val="Table10ptText-ASDEFCON"/>
    <w:rsid w:val="006F19DE"/>
    <w:pPr>
      <w:numPr>
        <w:ilvl w:val="2"/>
      </w:numPr>
      <w:jc w:val="both"/>
    </w:pPr>
  </w:style>
  <w:style w:type="paragraph" w:customStyle="1" w:styleId="ASDEFCONBulletsLV2">
    <w:name w:val="ASDEFCON Bullets LV2"/>
    <w:basedOn w:val="ASDEFCONNormal"/>
    <w:rsid w:val="006F19DE"/>
    <w:pPr>
      <w:numPr>
        <w:numId w:val="1"/>
      </w:numPr>
    </w:pPr>
  </w:style>
  <w:style w:type="paragraph" w:customStyle="1" w:styleId="Table10ptBP1-ASDEFCON">
    <w:name w:val="Table 10pt BP1 - ASDEFCON"/>
    <w:basedOn w:val="ASDEFCONNormal"/>
    <w:rsid w:val="006F19DE"/>
    <w:pPr>
      <w:numPr>
        <w:numId w:val="23"/>
      </w:numPr>
      <w:spacing w:before="60" w:after="60"/>
    </w:pPr>
  </w:style>
  <w:style w:type="paragraph" w:customStyle="1" w:styleId="Table10ptBP2-ASDEFCON">
    <w:name w:val="Table 10pt BP2 - ASDEFCON"/>
    <w:basedOn w:val="ASDEFCONNormal"/>
    <w:link w:val="Table10ptBP2-ASDEFCONCharChar"/>
    <w:rsid w:val="006F19DE"/>
    <w:pPr>
      <w:numPr>
        <w:ilvl w:val="1"/>
        <w:numId w:val="23"/>
      </w:numPr>
      <w:spacing w:before="60" w:after="60"/>
    </w:pPr>
  </w:style>
  <w:style w:type="character" w:customStyle="1" w:styleId="Table10ptBP2-ASDEFCONCharChar">
    <w:name w:val="Table 10pt BP2 - ASDEFCON Char Char"/>
    <w:link w:val="Table10ptBP2-ASDEFCON"/>
    <w:rsid w:val="006F19DE"/>
    <w:rPr>
      <w:rFonts w:ascii="Arial" w:hAnsi="Arial"/>
      <w:color w:val="000000"/>
      <w:szCs w:val="40"/>
    </w:rPr>
  </w:style>
  <w:style w:type="paragraph" w:customStyle="1" w:styleId="GuideMarginHead-ASDEFCON">
    <w:name w:val="Guide Margin Head - ASDEFCON"/>
    <w:basedOn w:val="ASDEFCONNormal"/>
    <w:rsid w:val="006F19DE"/>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6F19DE"/>
    <w:pPr>
      <w:ind w:left="1680"/>
    </w:pPr>
    <w:rPr>
      <w:lang w:eastAsia="en-US"/>
    </w:rPr>
  </w:style>
  <w:style w:type="paragraph" w:customStyle="1" w:styleId="GuideSublistLv1-ASDEFCON">
    <w:name w:val="Guide Sublist Lv1 - ASDEFCON"/>
    <w:basedOn w:val="ASDEFCONNormal"/>
    <w:qFormat/>
    <w:rsid w:val="006F19DE"/>
    <w:pPr>
      <w:numPr>
        <w:numId w:val="27"/>
      </w:numPr>
    </w:pPr>
    <w:rPr>
      <w:rFonts w:eastAsia="Calibri"/>
      <w:szCs w:val="22"/>
      <w:lang w:eastAsia="en-US"/>
    </w:rPr>
  </w:style>
  <w:style w:type="paragraph" w:customStyle="1" w:styleId="GuideBullets-ASDEFCON">
    <w:name w:val="Guide Bullets - ASDEFCON"/>
    <w:basedOn w:val="ASDEFCONNormal"/>
    <w:rsid w:val="006F19DE"/>
    <w:pPr>
      <w:numPr>
        <w:ilvl w:val="6"/>
        <w:numId w:val="18"/>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6F19DE"/>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6F19DE"/>
    <w:pPr>
      <w:keepNext/>
      <w:spacing w:before="240"/>
    </w:pPr>
    <w:rPr>
      <w:rFonts w:eastAsia="Calibri"/>
      <w:b/>
      <w:caps/>
      <w:szCs w:val="20"/>
      <w:lang w:eastAsia="en-US"/>
    </w:rPr>
  </w:style>
  <w:style w:type="paragraph" w:customStyle="1" w:styleId="ASDEFCONSublist">
    <w:name w:val="ASDEFCON Sublist"/>
    <w:basedOn w:val="ASDEFCONNormal"/>
    <w:rsid w:val="006F19DE"/>
    <w:pPr>
      <w:numPr>
        <w:numId w:val="28"/>
      </w:numPr>
    </w:pPr>
    <w:rPr>
      <w:iCs/>
    </w:rPr>
  </w:style>
  <w:style w:type="paragraph" w:customStyle="1" w:styleId="ASDEFCONRecitals">
    <w:name w:val="ASDEFCON Recitals"/>
    <w:basedOn w:val="ASDEFCONNormal"/>
    <w:link w:val="ASDEFCONRecitalsCharChar"/>
    <w:rsid w:val="006F19DE"/>
    <w:pPr>
      <w:numPr>
        <w:numId w:val="20"/>
      </w:numPr>
    </w:pPr>
  </w:style>
  <w:style w:type="character" w:customStyle="1" w:styleId="ASDEFCONRecitalsCharChar">
    <w:name w:val="ASDEFCON Recitals Char Char"/>
    <w:link w:val="ASDEFCONRecitals"/>
    <w:rsid w:val="006F19DE"/>
    <w:rPr>
      <w:rFonts w:ascii="Arial" w:hAnsi="Arial"/>
      <w:color w:val="000000"/>
      <w:szCs w:val="40"/>
    </w:rPr>
  </w:style>
  <w:style w:type="paragraph" w:customStyle="1" w:styleId="NoteList-ASDEFCON">
    <w:name w:val="Note List - ASDEFCON"/>
    <w:basedOn w:val="ASDEFCONNormal"/>
    <w:rsid w:val="006F19DE"/>
    <w:pPr>
      <w:numPr>
        <w:numId w:val="21"/>
      </w:numPr>
    </w:pPr>
    <w:rPr>
      <w:b/>
      <w:bCs/>
      <w:i/>
    </w:rPr>
  </w:style>
  <w:style w:type="paragraph" w:customStyle="1" w:styleId="NoteBullets-ASDEFCON">
    <w:name w:val="Note Bullets - ASDEFCON"/>
    <w:basedOn w:val="ASDEFCONNormal"/>
    <w:rsid w:val="006F19DE"/>
    <w:pPr>
      <w:numPr>
        <w:numId w:val="22"/>
      </w:numPr>
    </w:pPr>
    <w:rPr>
      <w:b/>
      <w:i/>
    </w:rPr>
  </w:style>
  <w:style w:type="paragraph" w:customStyle="1" w:styleId="ASDEFCONOperativePartListLV1">
    <w:name w:val="ASDEFCON Operative Part List LV1"/>
    <w:basedOn w:val="ASDEFCONNormal"/>
    <w:rsid w:val="006F19DE"/>
    <w:pPr>
      <w:numPr>
        <w:numId w:val="24"/>
      </w:numPr>
    </w:pPr>
    <w:rPr>
      <w:iCs/>
    </w:rPr>
  </w:style>
  <w:style w:type="paragraph" w:customStyle="1" w:styleId="ASDEFCONOperativePartListLV2">
    <w:name w:val="ASDEFCON Operative Part List LV2"/>
    <w:basedOn w:val="ASDEFCONOperativePartListLV1"/>
    <w:rsid w:val="006F19DE"/>
    <w:pPr>
      <w:numPr>
        <w:ilvl w:val="1"/>
      </w:numPr>
    </w:pPr>
  </w:style>
  <w:style w:type="paragraph" w:customStyle="1" w:styleId="ASDEFCONOptionSpace">
    <w:name w:val="ASDEFCON Option Space"/>
    <w:basedOn w:val="ASDEFCONNormal"/>
    <w:rsid w:val="006F19DE"/>
    <w:pPr>
      <w:spacing w:after="0"/>
    </w:pPr>
    <w:rPr>
      <w:bCs/>
      <w:color w:val="FFFFFF"/>
      <w:sz w:val="8"/>
    </w:rPr>
  </w:style>
  <w:style w:type="paragraph" w:customStyle="1" w:styleId="ATTANNReferencetoCOC">
    <w:name w:val="ATT/ANN Reference to COC"/>
    <w:basedOn w:val="ASDEFCONNormal"/>
    <w:link w:val="ATTANNReferencetoCOCChar"/>
    <w:rsid w:val="006F19DE"/>
    <w:pPr>
      <w:keepNext/>
      <w:jc w:val="right"/>
    </w:pPr>
    <w:rPr>
      <w:i/>
      <w:iCs/>
      <w:szCs w:val="20"/>
    </w:rPr>
  </w:style>
  <w:style w:type="paragraph" w:customStyle="1" w:styleId="ASDEFCONHeaderFooterCenter">
    <w:name w:val="ASDEFCON Header/Footer Center"/>
    <w:basedOn w:val="ASDEFCONHeaderFooterLeft"/>
    <w:rsid w:val="006F19DE"/>
    <w:pPr>
      <w:jc w:val="center"/>
    </w:pPr>
    <w:rPr>
      <w:szCs w:val="20"/>
    </w:rPr>
  </w:style>
  <w:style w:type="paragraph" w:customStyle="1" w:styleId="ASDEFCONHeaderFooterRight">
    <w:name w:val="ASDEFCON Header/Footer Right"/>
    <w:basedOn w:val="ASDEFCONHeaderFooterLeft"/>
    <w:rsid w:val="006F19DE"/>
    <w:pPr>
      <w:jc w:val="right"/>
    </w:pPr>
    <w:rPr>
      <w:szCs w:val="20"/>
    </w:rPr>
  </w:style>
  <w:style w:type="paragraph" w:customStyle="1" w:styleId="ASDEFCONHeaderFooterClassification">
    <w:name w:val="ASDEFCON Header/Footer Classification"/>
    <w:basedOn w:val="ASDEFCONHeaderFooterLeft"/>
    <w:rsid w:val="006F19DE"/>
    <w:pPr>
      <w:jc w:val="center"/>
    </w:pPr>
    <w:rPr>
      <w:rFonts w:ascii="Arial Bold" w:hAnsi="Arial Bold"/>
      <w:b/>
      <w:bCs/>
      <w:caps/>
      <w:sz w:val="20"/>
    </w:rPr>
  </w:style>
  <w:style w:type="paragraph" w:customStyle="1" w:styleId="GuideLV3Head-ASDEFCON">
    <w:name w:val="Guide LV3 Head - ASDEFCON"/>
    <w:basedOn w:val="ASDEFCONNormal"/>
    <w:rsid w:val="006F19DE"/>
    <w:pPr>
      <w:keepNext/>
    </w:pPr>
    <w:rPr>
      <w:rFonts w:eastAsia="Calibri"/>
      <w:b/>
      <w:szCs w:val="22"/>
      <w:lang w:eastAsia="en-US"/>
    </w:rPr>
  </w:style>
  <w:style w:type="paragraph" w:customStyle="1" w:styleId="GuideSublistLv2-ASDEFCON">
    <w:name w:val="Guide Sublist Lv2 - ASDEFCON"/>
    <w:basedOn w:val="ASDEFCONNormal"/>
    <w:rsid w:val="006F19DE"/>
    <w:pPr>
      <w:numPr>
        <w:ilvl w:val="1"/>
        <w:numId w:val="27"/>
      </w:numPr>
    </w:pPr>
  </w:style>
  <w:style w:type="paragraph" w:customStyle="1" w:styleId="ASDEFCONList">
    <w:name w:val="ASDEFCON List"/>
    <w:basedOn w:val="ASDEFCONNormal"/>
    <w:qFormat/>
    <w:rsid w:val="006F19DE"/>
    <w:pPr>
      <w:numPr>
        <w:numId w:val="29"/>
      </w:numPr>
    </w:pPr>
  </w:style>
  <w:style w:type="paragraph" w:customStyle="1" w:styleId="CoverPageTemplateTitle">
    <w:name w:val="Cover Page Template Title"/>
    <w:basedOn w:val="ASDEFCONCoverTitle"/>
    <w:link w:val="CoverPageTemplateTitleChar"/>
    <w:qFormat/>
    <w:rsid w:val="00477103"/>
  </w:style>
  <w:style w:type="character" w:customStyle="1" w:styleId="CoverPageTemplateTitleChar">
    <w:name w:val="Cover Page Template Title Char"/>
    <w:link w:val="CoverPageTemplateTitle"/>
    <w:rsid w:val="00477103"/>
    <w:rPr>
      <w:rFonts w:ascii="Georgia" w:hAnsi="Georgia"/>
      <w:b/>
      <w:color w:val="000000"/>
      <w:sz w:val="100"/>
      <w:szCs w:val="24"/>
    </w:rPr>
  </w:style>
  <w:style w:type="paragraph" w:styleId="TOCHeading">
    <w:name w:val="TOC Heading"/>
    <w:basedOn w:val="Heading1"/>
    <w:next w:val="Normal"/>
    <w:uiPriority w:val="39"/>
    <w:semiHidden/>
    <w:unhideWhenUsed/>
    <w:qFormat/>
    <w:rsid w:val="00477103"/>
    <w:pPr>
      <w:outlineLvl w:val="9"/>
    </w:pPr>
    <w:rPr>
      <w:rFonts w:ascii="Cambria" w:hAnsi="Cambria" w:cs="Times New Roman"/>
    </w:rPr>
  </w:style>
  <w:style w:type="character" w:customStyle="1" w:styleId="BalloonTextChar">
    <w:name w:val="Balloon Text Char"/>
    <w:link w:val="BalloonText"/>
    <w:rsid w:val="004F4BAC"/>
    <w:rPr>
      <w:rFonts w:ascii="Arial" w:hAnsi="Arial"/>
      <w:sz w:val="18"/>
    </w:rPr>
  </w:style>
  <w:style w:type="paragraph" w:customStyle="1" w:styleId="HandbookLevel2Header">
    <w:name w:val="Handbook Level 2 Header"/>
    <w:basedOn w:val="Heading2"/>
    <w:autoRedefine/>
    <w:qFormat/>
    <w:rsid w:val="0026711B"/>
    <w:pPr>
      <w:pBdr>
        <w:top w:val="single" w:sz="4" w:space="1" w:color="E86D1F"/>
      </w:pBdr>
      <w:spacing w:after="240"/>
    </w:pPr>
    <w:rPr>
      <w:rFonts w:ascii="Arial Bold" w:hAnsi="Arial Bold"/>
      <w:color w:val="E86D1F"/>
      <w:sz w:val="20"/>
    </w:rPr>
  </w:style>
  <w:style w:type="paragraph" w:styleId="NormalIndent">
    <w:name w:val="Normal Indent"/>
    <w:basedOn w:val="Normal"/>
    <w:rsid w:val="00FB4A80"/>
    <w:pPr>
      <w:ind w:left="720"/>
    </w:pPr>
  </w:style>
  <w:style w:type="character" w:customStyle="1" w:styleId="NoteToTenderers-ASDEFCONChar">
    <w:name w:val="Note To Tenderers - ASDEFCON Char"/>
    <w:link w:val="NoteToTenderers-ASDEFCON"/>
    <w:rsid w:val="00FB4A80"/>
    <w:rPr>
      <w:rFonts w:ascii="Arial" w:hAnsi="Arial"/>
      <w:b/>
      <w:i/>
      <w:color w:val="000000"/>
      <w:szCs w:val="40"/>
      <w:shd w:val="pct15" w:color="auto" w:fill="auto"/>
    </w:rPr>
  </w:style>
  <w:style w:type="character" w:customStyle="1" w:styleId="ATTANNReferencetoCOCChar">
    <w:name w:val="ATT/ANN Reference to COC Char"/>
    <w:link w:val="ATTANNReferencetoCOC"/>
    <w:rsid w:val="007977E7"/>
    <w:rPr>
      <w:rFonts w:ascii="Arial" w:hAnsi="Arial"/>
      <w:i/>
      <w:iCs/>
      <w:color w:val="000000"/>
    </w:rPr>
  </w:style>
  <w:style w:type="character" w:customStyle="1" w:styleId="Table10ptHeading-ASDEFCONChar">
    <w:name w:val="Table 10pt Heading - ASDEFCON Char"/>
    <w:link w:val="Table10ptHeading-ASDEFCON"/>
    <w:rsid w:val="00F37F7C"/>
    <w:rPr>
      <w:rFonts w:ascii="Arial" w:hAnsi="Arial"/>
      <w:b/>
      <w:color w:val="000000"/>
      <w:szCs w:val="40"/>
    </w:rPr>
  </w:style>
  <w:style w:type="table" w:customStyle="1" w:styleId="TableGrid1">
    <w:name w:val="Table Grid1"/>
    <w:basedOn w:val="TableNormal"/>
    <w:next w:val="TableGrid"/>
    <w:uiPriority w:val="59"/>
    <w:rsid w:val="005D786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6512F"/>
    <w:pPr>
      <w:spacing w:after="0"/>
      <w:ind w:left="720"/>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0526941">
      <w:bodyDiv w:val="1"/>
      <w:marLeft w:val="0"/>
      <w:marRight w:val="0"/>
      <w:marTop w:val="0"/>
      <w:marBottom w:val="0"/>
      <w:divBdr>
        <w:top w:val="none" w:sz="0" w:space="0" w:color="auto"/>
        <w:left w:val="none" w:sz="0" w:space="0" w:color="auto"/>
        <w:bottom w:val="none" w:sz="0" w:space="0" w:color="auto"/>
        <w:right w:val="none" w:sz="0" w:space="0" w:color="auto"/>
      </w:divBdr>
    </w:div>
    <w:div w:id="579026338">
      <w:bodyDiv w:val="1"/>
      <w:marLeft w:val="0"/>
      <w:marRight w:val="0"/>
      <w:marTop w:val="0"/>
      <w:marBottom w:val="0"/>
      <w:divBdr>
        <w:top w:val="none" w:sz="0" w:space="0" w:color="auto"/>
        <w:left w:val="none" w:sz="0" w:space="0" w:color="auto"/>
        <w:bottom w:val="none" w:sz="0" w:space="0" w:color="auto"/>
        <w:right w:val="none" w:sz="0" w:space="0" w:color="auto"/>
      </w:divBdr>
    </w:div>
    <w:div w:id="800458707">
      <w:bodyDiv w:val="1"/>
      <w:marLeft w:val="0"/>
      <w:marRight w:val="0"/>
      <w:marTop w:val="0"/>
      <w:marBottom w:val="0"/>
      <w:divBdr>
        <w:top w:val="none" w:sz="0" w:space="0" w:color="auto"/>
        <w:left w:val="none" w:sz="0" w:space="0" w:color="auto"/>
        <w:bottom w:val="none" w:sz="0" w:space="0" w:color="auto"/>
        <w:right w:val="none" w:sz="0" w:space="0" w:color="auto"/>
      </w:divBdr>
    </w:div>
    <w:div w:id="991566662">
      <w:bodyDiv w:val="1"/>
      <w:marLeft w:val="0"/>
      <w:marRight w:val="0"/>
      <w:marTop w:val="0"/>
      <w:marBottom w:val="0"/>
      <w:divBdr>
        <w:top w:val="none" w:sz="0" w:space="0" w:color="auto"/>
        <w:left w:val="none" w:sz="0" w:space="0" w:color="auto"/>
        <w:bottom w:val="none" w:sz="0" w:space="0" w:color="auto"/>
        <w:right w:val="none" w:sz="0" w:space="0" w:color="auto"/>
      </w:divBdr>
    </w:div>
    <w:div w:id="998996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efence.gov.au/business-industry/procurement/policies-guidelines-templates/cost-principles"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efence.gov.au/business-industry/procurement/policies-guidelines-templates/master-guarantee-progr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defence.gov.au/business-industry/procurement/policies-guidelines-templates/cost-principle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finance.gov.au/government/managing-commonwealth-resources/managing-risk-internal-accountability/foreign-exchange-risk-management" TargetMode="External"/><Relationship Id="rId4" Type="http://schemas.openxmlformats.org/officeDocument/2006/relationships/settings" Target="settings.xml"/><Relationship Id="rId9" Type="http://schemas.openxmlformats.org/officeDocument/2006/relationships/hyperlink" Target="https://www.defence.gov.au/business-industry/procurement/policies-guidelines-templates/procurement-guidance"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veedgelow\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A3EA62-1E70-44CC-A96F-25C01CE93B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Template>
  <TotalTime>4021</TotalTime>
  <Pages>10</Pages>
  <Words>5028</Words>
  <Characters>29115</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ASDEFCON (Support)</vt:lpstr>
    </vt:vector>
  </TitlesOfParts>
  <Company>Defence</Company>
  <LinksUpToDate>false</LinksUpToDate>
  <CharactersWithSpaces>34075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ASDEFCON (Support)</dc:title>
  <dc:subject>Annex to Conditions of Tender</dc:subject>
  <dc:creator/>
  <cp:lastModifiedBy>DAE1-</cp:lastModifiedBy>
  <cp:revision>92</cp:revision>
  <cp:lastPrinted>2015-07-10T07:16:00Z</cp:lastPrinted>
  <dcterms:created xsi:type="dcterms:W3CDTF">2018-06-26T02:52:00Z</dcterms:created>
  <dcterms:modified xsi:type="dcterms:W3CDTF">2022-03-10T01:56:00Z</dcterms:modified>
  <cp:category>PART 1</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V5.0</vt:lpwstr>
  </property>
  <property fmtid="{D5CDD505-2E9C-101B-9397-08002B2CF9AE}" pid="3" name="DocID">
    <vt:lpwstr>213965801_1</vt:lpwstr>
  </property>
  <property fmtid="{D5CDD505-2E9C-101B-9397-08002B2CF9AE}" pid="4" name="Objective-Id">
    <vt:lpwstr>BM42686623</vt:lpwstr>
  </property>
  <property fmtid="{D5CDD505-2E9C-101B-9397-08002B2CF9AE}" pid="5" name="Objective-Title">
    <vt:lpwstr>009_SPTV5.0_TATTA_ANND_Financial</vt:lpwstr>
  </property>
  <property fmtid="{D5CDD505-2E9C-101B-9397-08002B2CF9AE}" pid="6" name="Objective-Comment">
    <vt:lpwstr/>
  </property>
  <property fmtid="{D5CDD505-2E9C-101B-9397-08002B2CF9AE}" pid="7" name="Objective-CreationStamp">
    <vt:filetime>2022-03-10T01:28:05Z</vt:filetime>
  </property>
  <property fmtid="{D5CDD505-2E9C-101B-9397-08002B2CF9AE}" pid="8" name="Objective-IsApproved">
    <vt:bool>false</vt:bool>
  </property>
  <property fmtid="{D5CDD505-2E9C-101B-9397-08002B2CF9AE}" pid="9" name="Objective-IsPublished">
    <vt:bool>false</vt:bool>
  </property>
  <property fmtid="{D5CDD505-2E9C-101B-9397-08002B2CF9AE}" pid="10" name="Objective-DatePublished">
    <vt:lpwstr/>
  </property>
  <property fmtid="{D5CDD505-2E9C-101B-9397-08002B2CF9AE}" pid="11" name="Objective-ModificationStamp">
    <vt:filetime>2022-03-10T01:50:02Z</vt:filetime>
  </property>
  <property fmtid="{D5CDD505-2E9C-101B-9397-08002B2CF9AE}" pid="12" name="Objective-Owner">
    <vt:lpwstr>Kanakaratne, Shakeela Mrs</vt:lpwstr>
  </property>
  <property fmtid="{D5CDD505-2E9C-101B-9397-08002B2CF9AE}" pid="13" name="Objective-Path">
    <vt:lpwstr>Objective Global Folder - PROD:Defence Business Units:Capability Acquisition and Sustainment Group:Group Business Management:Commercial Division:MPB : Materiel Procurement Branch:Commercial Policy Practice (CPP):03 ASDEFCON &amp; Contracting Initiatives (ACI)</vt:lpwstr>
  </property>
  <property fmtid="{D5CDD505-2E9C-101B-9397-08002B2CF9AE}" pid="14" name="Objective-Parent">
    <vt:lpwstr>10 cleaned up versions of 7 templates impacted by live update March 2022</vt:lpwstr>
  </property>
  <property fmtid="{D5CDD505-2E9C-101B-9397-08002B2CF9AE}" pid="15" name="Objective-State">
    <vt:lpwstr>Being Edited</vt:lpwstr>
  </property>
  <property fmtid="{D5CDD505-2E9C-101B-9397-08002B2CF9AE}" pid="16" name="Objective-Version">
    <vt:lpwstr>1.1</vt:lpwstr>
  </property>
  <property fmtid="{D5CDD505-2E9C-101B-9397-08002B2CF9AE}" pid="17" name="Objective-VersionNumber">
    <vt:i4>2</vt:i4>
  </property>
  <property fmtid="{D5CDD505-2E9C-101B-9397-08002B2CF9AE}" pid="18" name="Objective-VersionComment">
    <vt:lpwstr/>
  </property>
  <property fmtid="{D5CDD505-2E9C-101B-9397-08002B2CF9AE}" pid="19" name="Objective-FileNumber">
    <vt:lpwstr/>
  </property>
  <property fmtid="{D5CDD505-2E9C-101B-9397-08002B2CF9AE}" pid="20" name="Objective-Classification">
    <vt:lpwstr>[Inherited - Official]</vt:lpwstr>
  </property>
  <property fmtid="{D5CDD505-2E9C-101B-9397-08002B2CF9AE}" pid="21" name="Objective-Caveats">
    <vt:lpwstr/>
  </property>
  <property fmtid="{D5CDD505-2E9C-101B-9397-08002B2CF9AE}" pid="22" name="Objective-Document Type [system]">
    <vt:lpwstr/>
  </property>
  <property fmtid="{D5CDD505-2E9C-101B-9397-08002B2CF9AE}" pid="23" name="TemplateDocument">
    <vt:lpwstr>Attachment X</vt:lpwstr>
  </property>
  <property fmtid="{D5CDD505-2E9C-101B-9397-08002B2CF9AE}" pid="24" name="Header_Left">
    <vt:lpwstr>ASDEFCON (Support)</vt:lpwstr>
  </property>
  <property fmtid="{D5CDD505-2E9C-101B-9397-08002B2CF9AE}" pid="25" name="Header_Right">
    <vt:lpwstr>PART 1</vt:lpwstr>
  </property>
  <property fmtid="{D5CDD505-2E9C-101B-9397-08002B2CF9AE}" pid="26" name="Footer_Left">
    <vt:lpwstr>Conditions of Tender</vt:lpwstr>
  </property>
  <property fmtid="{D5CDD505-2E9C-101B-9397-08002B2CF9AE}" pid="27" name="Classification">
    <vt:lpwstr>OFFICIAL</vt:lpwstr>
  </property>
</Properties>
</file>