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16FF2" w14:textId="3A3BE63B" w:rsidR="00EC2E38" w:rsidRDefault="00EC2E38" w:rsidP="00DA7657">
      <w:pPr>
        <w:pStyle w:val="ASDEFCONTitle"/>
      </w:pPr>
      <w:bookmarkStart w:id="0" w:name="_Toc3028317"/>
      <w:r w:rsidRPr="0066273A">
        <w:t>PRICE AND PAYMENTs (</w:t>
      </w:r>
      <w:r w:rsidR="003B6E5A">
        <w:t>CORE</w:t>
      </w:r>
      <w:r w:rsidRPr="0066273A">
        <w:t>)</w:t>
      </w:r>
    </w:p>
    <w:p w14:paraId="6D006343" w14:textId="3DCB396E" w:rsidR="00EC2E38" w:rsidRDefault="00EC2E38" w:rsidP="00DA7657">
      <w:pPr>
        <w:pStyle w:val="NoteToTenderers-ASDEFCON"/>
      </w:pPr>
      <w:r>
        <w:t>Note to tenderers:  Attachment B will consist of an amalgamation of information contained in TDR D, this draft Attachment, the successful tenderer’s response</w:t>
      </w:r>
      <w:r w:rsidR="00556A01">
        <w:t xml:space="preserve">, including the details tendered within the </w:t>
      </w:r>
      <w:r w:rsidR="000A2B2F">
        <w:t xml:space="preserve">Microsoft Excel® workbook </w:t>
      </w:r>
      <w:r w:rsidR="00556A01">
        <w:t>‘</w:t>
      </w:r>
      <w:r w:rsidR="000A2B2F" w:rsidDel="00461589">
        <w:t xml:space="preserve">ASDEFCON </w:t>
      </w:r>
      <w:r w:rsidR="000A2B2F">
        <w:t>Support</w:t>
      </w:r>
      <w:r w:rsidR="000A2B2F" w:rsidDel="00461589">
        <w:t xml:space="preserve"> Pricing Workbook</w:t>
      </w:r>
      <w:r w:rsidR="000A2B2F">
        <w:t>’ (SPTPW)</w:t>
      </w:r>
      <w:r w:rsidR="00983335">
        <w:t>,</w:t>
      </w:r>
      <w:r>
        <w:t xml:space="preserve"> and any negotiated adjustments.</w:t>
      </w:r>
      <w:r w:rsidR="00556A01">
        <w:t xml:space="preserve"> </w:t>
      </w:r>
    </w:p>
    <w:p w14:paraId="303C05F1" w14:textId="52915130" w:rsidR="005851FE" w:rsidRDefault="005851FE" w:rsidP="00701F87">
      <w:pPr>
        <w:pStyle w:val="ATTANNLV1-ASDEFCON"/>
      </w:pPr>
      <w:r>
        <w:t>Pricing Structure</w:t>
      </w:r>
      <w:r w:rsidR="004D29AD">
        <w:t xml:space="preserve"> (</w:t>
      </w:r>
      <w:r w:rsidR="003B6E5A">
        <w:t>CORE</w:t>
      </w:r>
      <w:r w:rsidR="004D29AD">
        <w:t>)</w:t>
      </w:r>
    </w:p>
    <w:p w14:paraId="2EC7ED43" w14:textId="0FBD07D4" w:rsidR="00E55E3B" w:rsidRPr="00C76E1C" w:rsidRDefault="00EC2E38" w:rsidP="00701F87">
      <w:pPr>
        <w:pStyle w:val="ATTANNLV2-ASDEFCON"/>
      </w:pPr>
      <w:r w:rsidRPr="00DA7657">
        <w:t>Attachment</w:t>
      </w:r>
      <w:r w:rsidRPr="0066273A">
        <w:t xml:space="preserve"> B consists of the following </w:t>
      </w:r>
      <w:r w:rsidR="00CC6888">
        <w:t>structure</w:t>
      </w:r>
      <w:r w:rsidRPr="0066273A">
        <w:t>:</w:t>
      </w:r>
    </w:p>
    <w:p w14:paraId="004A4803" w14:textId="78E26468" w:rsidR="001C628D" w:rsidRPr="00DA7657" w:rsidRDefault="001C628D" w:rsidP="00DA7657">
      <w:pPr>
        <w:pStyle w:val="ASDEFCONNormal"/>
        <w:tabs>
          <w:tab w:val="left" w:pos="8505"/>
        </w:tabs>
        <w:rPr>
          <w:b/>
        </w:rPr>
      </w:pPr>
      <w:r w:rsidRPr="00DA7657">
        <w:rPr>
          <w:b/>
        </w:rPr>
        <w:t>Clause</w:t>
      </w:r>
      <w:r w:rsidR="00DA7657" w:rsidRPr="00DA7657">
        <w:rPr>
          <w:b/>
        </w:rPr>
        <w:tab/>
      </w:r>
      <w:r w:rsidRPr="00DA7657">
        <w:rPr>
          <w:b/>
        </w:rPr>
        <w:t>page</w:t>
      </w:r>
    </w:p>
    <w:p w14:paraId="1050E5EC" w14:textId="4ECE1344" w:rsidR="007B78E8" w:rsidRDefault="00A2458D">
      <w:pPr>
        <w:pStyle w:val="TOC1"/>
        <w:rPr>
          <w:rFonts w:asciiTheme="minorHAnsi" w:eastAsiaTheme="minorEastAsia" w:hAnsiTheme="minorHAnsi" w:cstheme="minorBidi"/>
          <w:b w:val="0"/>
          <w:sz w:val="22"/>
          <w:szCs w:val="22"/>
        </w:rPr>
      </w:pPr>
      <w:r>
        <w:fldChar w:fldCharType="begin"/>
      </w:r>
      <w:r>
        <w:instrText xml:space="preserve"> TOC \o "1-2" \t "COT/COC LV1 - ASDEFCON,1,SOW HL1 - ASDEFCON,1,SOW HL2 - ASDEFCON,2" </w:instrText>
      </w:r>
      <w:r>
        <w:fldChar w:fldCharType="separate"/>
      </w:r>
      <w:r w:rsidR="007B78E8">
        <w:t>2</w:t>
      </w:r>
      <w:r w:rsidR="007B78E8">
        <w:rPr>
          <w:rFonts w:asciiTheme="minorHAnsi" w:eastAsiaTheme="minorEastAsia" w:hAnsiTheme="minorHAnsi" w:cstheme="minorBidi"/>
          <w:b w:val="0"/>
          <w:sz w:val="22"/>
          <w:szCs w:val="22"/>
        </w:rPr>
        <w:tab/>
      </w:r>
      <w:r w:rsidR="007B78E8">
        <w:t>Mobilisation Payments and Milestone Payments (CORE)</w:t>
      </w:r>
      <w:r w:rsidR="007B78E8">
        <w:tab/>
      </w:r>
      <w:r w:rsidR="007B78E8">
        <w:fldChar w:fldCharType="begin"/>
      </w:r>
      <w:r w:rsidR="007B78E8">
        <w:instrText xml:space="preserve"> PAGEREF _Toc97811147 \h </w:instrText>
      </w:r>
      <w:r w:rsidR="007B78E8">
        <w:fldChar w:fldCharType="separate"/>
      </w:r>
      <w:r w:rsidR="007B78E8">
        <w:t>2</w:t>
      </w:r>
      <w:r w:rsidR="007B78E8">
        <w:fldChar w:fldCharType="end"/>
      </w:r>
    </w:p>
    <w:p w14:paraId="0A915120" w14:textId="154974E5" w:rsidR="007B78E8" w:rsidRDefault="007B78E8">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Recurring Services (CORE)</w:t>
      </w:r>
      <w:r>
        <w:tab/>
      </w:r>
      <w:r>
        <w:fldChar w:fldCharType="begin"/>
      </w:r>
      <w:r>
        <w:instrText xml:space="preserve"> PAGEREF _Toc97811148 \h </w:instrText>
      </w:r>
      <w:r>
        <w:fldChar w:fldCharType="separate"/>
      </w:r>
      <w:r>
        <w:t>2</w:t>
      </w:r>
      <w:r>
        <w:fldChar w:fldCharType="end"/>
      </w:r>
    </w:p>
    <w:p w14:paraId="03E1E98F" w14:textId="43680376" w:rsidR="007B78E8" w:rsidRDefault="007B78E8">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Performance Payments (CORE)</w:t>
      </w:r>
      <w:r>
        <w:tab/>
      </w:r>
      <w:r>
        <w:fldChar w:fldCharType="begin"/>
      </w:r>
      <w:r>
        <w:instrText xml:space="preserve"> PAGEREF _Toc97811149 \h </w:instrText>
      </w:r>
      <w:r>
        <w:fldChar w:fldCharType="separate"/>
      </w:r>
      <w:r>
        <w:t>3</w:t>
      </w:r>
      <w:r>
        <w:fldChar w:fldCharType="end"/>
      </w:r>
    </w:p>
    <w:p w14:paraId="0CC9B785" w14:textId="16C0805E" w:rsidR="007B78E8" w:rsidRDefault="007B78E8">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Task-Priced Services (CORE)</w:t>
      </w:r>
      <w:r>
        <w:tab/>
      </w:r>
      <w:r>
        <w:fldChar w:fldCharType="begin"/>
      </w:r>
      <w:r>
        <w:instrText xml:space="preserve"> PAGEREF _Toc97811150 \h </w:instrText>
      </w:r>
      <w:r>
        <w:fldChar w:fldCharType="separate"/>
      </w:r>
      <w:r>
        <w:t>4</w:t>
      </w:r>
      <w:r>
        <w:fldChar w:fldCharType="end"/>
      </w:r>
    </w:p>
    <w:p w14:paraId="31920F02" w14:textId="23806B38" w:rsidR="007B78E8" w:rsidRDefault="007B78E8">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S&amp;Q Services (CORE)</w:t>
      </w:r>
      <w:r>
        <w:tab/>
      </w:r>
      <w:r>
        <w:fldChar w:fldCharType="begin"/>
      </w:r>
      <w:r>
        <w:instrText xml:space="preserve"> PAGEREF _Toc97811151 \h </w:instrText>
      </w:r>
      <w:r>
        <w:fldChar w:fldCharType="separate"/>
      </w:r>
      <w:r>
        <w:t>4</w:t>
      </w:r>
      <w:r>
        <w:fldChar w:fldCharType="end"/>
      </w:r>
    </w:p>
    <w:p w14:paraId="4B568137" w14:textId="4F31BB4F" w:rsidR="007B78E8" w:rsidRDefault="007B78E8">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Adjustments (CORE)</w:t>
      </w:r>
      <w:r>
        <w:tab/>
      </w:r>
      <w:r>
        <w:fldChar w:fldCharType="begin"/>
      </w:r>
      <w:r>
        <w:instrText xml:space="preserve"> PAGEREF _Toc97811152 \h </w:instrText>
      </w:r>
      <w:r>
        <w:fldChar w:fldCharType="separate"/>
      </w:r>
      <w:r>
        <w:t>5</w:t>
      </w:r>
      <w:r>
        <w:fldChar w:fldCharType="end"/>
      </w:r>
    </w:p>
    <w:p w14:paraId="50A7EB61" w14:textId="384A8CED" w:rsidR="007B78E8" w:rsidRDefault="007B78E8">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Australian Contract Expenditure (CORE)</w:t>
      </w:r>
      <w:r>
        <w:tab/>
      </w:r>
      <w:r>
        <w:fldChar w:fldCharType="begin"/>
      </w:r>
      <w:r>
        <w:instrText xml:space="preserve"> PAGEREF _Toc97811153 \h </w:instrText>
      </w:r>
      <w:r>
        <w:fldChar w:fldCharType="separate"/>
      </w:r>
      <w:r>
        <w:t>8</w:t>
      </w:r>
      <w:r>
        <w:fldChar w:fldCharType="end"/>
      </w:r>
    </w:p>
    <w:p w14:paraId="54FDBE41" w14:textId="32820AB1" w:rsidR="007B78E8" w:rsidRDefault="007B78E8">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Contractor Standing Capability (OPTIONAL)</w:t>
      </w:r>
      <w:r>
        <w:tab/>
      </w:r>
      <w:r>
        <w:fldChar w:fldCharType="begin"/>
      </w:r>
      <w:r>
        <w:instrText xml:space="preserve"> PAGEREF _Toc97811154 \h </w:instrText>
      </w:r>
      <w:r>
        <w:fldChar w:fldCharType="separate"/>
      </w:r>
      <w:r>
        <w:t>10</w:t>
      </w:r>
      <w:r>
        <w:fldChar w:fldCharType="end"/>
      </w:r>
    </w:p>
    <w:p w14:paraId="457DD968" w14:textId="6E8009A3" w:rsidR="00415EE1" w:rsidRPr="00F3275E" w:rsidRDefault="00A2458D" w:rsidP="00DA7657">
      <w:pPr>
        <w:pStyle w:val="ASDEFCONNormal"/>
        <w:ind w:left="567"/>
      </w:pPr>
      <w:r>
        <w:rPr>
          <w:b/>
          <w:noProof/>
        </w:rPr>
        <w:fldChar w:fldCharType="end"/>
      </w:r>
    </w:p>
    <w:p w14:paraId="1B5EB7A1" w14:textId="4EF6FA9C" w:rsidR="00E55E3B" w:rsidRDefault="00E55E3B" w:rsidP="00DA7657">
      <w:pPr>
        <w:pStyle w:val="NoteToDrafters-ASDEFCON"/>
        <w:rPr>
          <w:noProof/>
        </w:rPr>
      </w:pPr>
      <w:r>
        <w:rPr>
          <w:noProof/>
        </w:rPr>
        <w:t>Note to drafters:  Some Annexes will include a file with the appropriate pricing</w:t>
      </w:r>
      <w:r w:rsidR="000A2B2F">
        <w:rPr>
          <w:noProof/>
        </w:rPr>
        <w:t xml:space="preserve"> table, such as a PDF copy of a work</w:t>
      </w:r>
      <w:r>
        <w:rPr>
          <w:noProof/>
        </w:rPr>
        <w:t>sheet from the ‘</w:t>
      </w:r>
      <w:r w:rsidR="000A2B2F">
        <w:rPr>
          <w:noProof/>
        </w:rPr>
        <w:t>SPTPW</w:t>
      </w:r>
      <w:r>
        <w:rPr>
          <w:noProof/>
        </w:rPr>
        <w:t xml:space="preserve">’.  </w:t>
      </w:r>
      <w:r w:rsidR="008A7685">
        <w:rPr>
          <w:noProof/>
        </w:rPr>
        <w:t xml:space="preserve">For Recurring Services, multiple schedules will be included under Annex B.  </w:t>
      </w:r>
      <w:r>
        <w:rPr>
          <w:noProof/>
        </w:rPr>
        <w:t xml:space="preserve">Update the following table for the Annexes </w:t>
      </w:r>
      <w:r w:rsidR="008A7685">
        <w:rPr>
          <w:noProof/>
        </w:rPr>
        <w:t xml:space="preserve">(and schedules) </w:t>
      </w:r>
      <w:r>
        <w:rPr>
          <w:noProof/>
        </w:rPr>
        <w:t xml:space="preserve">to be included in the </w:t>
      </w:r>
      <w:r w:rsidR="003B6E5A">
        <w:rPr>
          <w:noProof/>
        </w:rPr>
        <w:t xml:space="preserve">draft </w:t>
      </w:r>
      <w:r>
        <w:rPr>
          <w:noProof/>
        </w:rPr>
        <w:t xml:space="preserve">Contract.  Files names may be added </w:t>
      </w:r>
      <w:r w:rsidR="00BF4830">
        <w:rPr>
          <w:noProof/>
        </w:rPr>
        <w:t>prior to ED</w:t>
      </w:r>
      <w:r w:rsidR="008A7685">
        <w:rPr>
          <w:noProof/>
        </w:rPr>
        <w:t>,</w:t>
      </w:r>
      <w:r w:rsidR="00BF4830">
        <w:rPr>
          <w:noProof/>
        </w:rPr>
        <w:t xml:space="preserve"> </w:t>
      </w:r>
      <w:r>
        <w:rPr>
          <w:noProof/>
        </w:rPr>
        <w:t>when known</w:t>
      </w:r>
      <w:r w:rsidR="00BF4830">
        <w:rPr>
          <w:noProof/>
        </w:rPr>
        <w:t>.</w:t>
      </w:r>
      <w:r>
        <w:rPr>
          <w:noProof/>
        </w:rPr>
        <w:t xml:space="preserve"> </w:t>
      </w:r>
      <w:r w:rsidR="00BF4830">
        <w:rPr>
          <w:noProof/>
        </w:rPr>
        <w:t xml:space="preserve"> T</w:t>
      </w:r>
      <w:r>
        <w:rPr>
          <w:noProof/>
        </w:rPr>
        <w:t xml:space="preserve">he examples below are based on the tabs </w:t>
      </w:r>
      <w:r w:rsidR="008A7685">
        <w:rPr>
          <w:noProof/>
        </w:rPr>
        <w:t>for worksheets with</w:t>
      </w:r>
      <w:r>
        <w:rPr>
          <w:noProof/>
        </w:rPr>
        <w:t xml:space="preserve">in the </w:t>
      </w:r>
      <w:r w:rsidR="00175D38">
        <w:rPr>
          <w:noProof/>
        </w:rPr>
        <w:t>SPTPW</w:t>
      </w:r>
      <w:r>
        <w:rPr>
          <w:noProof/>
        </w:rPr>
        <w:t>.</w:t>
      </w:r>
    </w:p>
    <w:p w14:paraId="1BB7605A" w14:textId="77777777" w:rsidR="00E55E3B" w:rsidRDefault="00E55E3B" w:rsidP="00DA7657">
      <w:pPr>
        <w:pStyle w:val="ASDEFCONOptionSpace"/>
        <w:rPr>
          <w:noProof/>
        </w:rPr>
      </w:pPr>
    </w:p>
    <w:tbl>
      <w:tblPr>
        <w:tblStyle w:val="TableGrid"/>
        <w:tblW w:w="0" w:type="auto"/>
        <w:tblLook w:val="04A0" w:firstRow="1" w:lastRow="0" w:firstColumn="1" w:lastColumn="0" w:noHBand="0" w:noVBand="1"/>
      </w:tblPr>
      <w:tblGrid>
        <w:gridCol w:w="828"/>
        <w:gridCol w:w="3845"/>
        <w:gridCol w:w="4388"/>
      </w:tblGrid>
      <w:tr w:rsidR="00E55E3B" w14:paraId="05E454F6" w14:textId="77777777" w:rsidTr="000F70F4">
        <w:tc>
          <w:tcPr>
            <w:tcW w:w="828" w:type="dxa"/>
            <w:shd w:val="pct10" w:color="auto" w:fill="auto"/>
          </w:tcPr>
          <w:p w14:paraId="64F80D66" w14:textId="77777777" w:rsidR="00E55E3B" w:rsidRDefault="00E55E3B" w:rsidP="00DA7657">
            <w:pPr>
              <w:pStyle w:val="Table10ptHeading-ASDEFCON"/>
            </w:pPr>
            <w:r>
              <w:t>Annex</w:t>
            </w:r>
          </w:p>
        </w:tc>
        <w:tc>
          <w:tcPr>
            <w:tcW w:w="3845" w:type="dxa"/>
            <w:shd w:val="pct10" w:color="auto" w:fill="auto"/>
          </w:tcPr>
          <w:p w14:paraId="1B26DE72" w14:textId="77777777" w:rsidR="00E55E3B" w:rsidRDefault="00E55E3B" w:rsidP="00DA7657">
            <w:pPr>
              <w:pStyle w:val="Table10ptHeading-ASDEFCON"/>
            </w:pPr>
            <w:r>
              <w:t>Title</w:t>
            </w:r>
          </w:p>
        </w:tc>
        <w:tc>
          <w:tcPr>
            <w:tcW w:w="4388" w:type="dxa"/>
            <w:shd w:val="pct10" w:color="auto" w:fill="auto"/>
          </w:tcPr>
          <w:p w14:paraId="3D306D77" w14:textId="77777777" w:rsidR="00E55E3B" w:rsidRDefault="00E55E3B" w:rsidP="00DA7657">
            <w:pPr>
              <w:pStyle w:val="Table10ptHeading-ASDEFCON"/>
            </w:pPr>
            <w:r>
              <w:t>File Names</w:t>
            </w:r>
          </w:p>
        </w:tc>
      </w:tr>
      <w:tr w:rsidR="00E55E3B" w14:paraId="780316DB" w14:textId="77777777" w:rsidTr="000F70F4">
        <w:tc>
          <w:tcPr>
            <w:tcW w:w="828" w:type="dxa"/>
          </w:tcPr>
          <w:p w14:paraId="239C15F8" w14:textId="77777777" w:rsidR="00E55E3B" w:rsidRDefault="00E55E3B" w:rsidP="00C52E8B">
            <w:pPr>
              <w:pStyle w:val="Table10ptText-ASDEFCON"/>
              <w:jc w:val="center"/>
            </w:pPr>
            <w:r>
              <w:t>A</w:t>
            </w:r>
          </w:p>
        </w:tc>
        <w:tc>
          <w:tcPr>
            <w:tcW w:w="3845" w:type="dxa"/>
          </w:tcPr>
          <w:p w14:paraId="36039234" w14:textId="5AC41E94" w:rsidR="00E55E3B" w:rsidRDefault="00811CD4" w:rsidP="00DA7657">
            <w:pPr>
              <w:pStyle w:val="Table10ptText-ASDEFCON"/>
            </w:pPr>
            <w:r w:rsidRPr="0066273A">
              <w:t>Milestone Payments</w:t>
            </w:r>
            <w:r w:rsidR="0026163E">
              <w:t xml:space="preserve"> (Core)</w:t>
            </w:r>
          </w:p>
        </w:tc>
        <w:tc>
          <w:tcPr>
            <w:tcW w:w="4388" w:type="dxa"/>
          </w:tcPr>
          <w:p w14:paraId="420C96D4" w14:textId="1433E9CA" w:rsidR="00E55E3B" w:rsidRPr="00FC4375" w:rsidRDefault="00086824" w:rsidP="00915183">
            <w:pPr>
              <w:pStyle w:val="Table10ptText-ASDEFCON"/>
            </w:pPr>
            <w:r>
              <w:t xml:space="preserve">Milestone </w:t>
            </w:r>
            <w:r w:rsidR="00915183">
              <w:t xml:space="preserve">Payments </w:t>
            </w:r>
            <w:r>
              <w:t>Schedule</w:t>
            </w:r>
          </w:p>
        </w:tc>
      </w:tr>
      <w:tr w:rsidR="00E55E3B" w14:paraId="36A480C1" w14:textId="77777777" w:rsidTr="000F70F4">
        <w:tc>
          <w:tcPr>
            <w:tcW w:w="828" w:type="dxa"/>
          </w:tcPr>
          <w:p w14:paraId="2990D994" w14:textId="77777777" w:rsidR="00E55E3B" w:rsidRDefault="00E55E3B" w:rsidP="00C52E8B">
            <w:pPr>
              <w:pStyle w:val="Table10ptText-ASDEFCON"/>
              <w:jc w:val="center"/>
            </w:pPr>
            <w:r>
              <w:t>B</w:t>
            </w:r>
          </w:p>
        </w:tc>
        <w:tc>
          <w:tcPr>
            <w:tcW w:w="3845" w:type="dxa"/>
          </w:tcPr>
          <w:p w14:paraId="34F7CCB9" w14:textId="6340564D" w:rsidR="00E55E3B" w:rsidRDefault="00811CD4" w:rsidP="00DA7657">
            <w:pPr>
              <w:pStyle w:val="Table10ptText-ASDEFCON"/>
            </w:pPr>
            <w:r w:rsidRPr="0066273A">
              <w:t>Recurring Services</w:t>
            </w:r>
            <w:r w:rsidR="0026163E">
              <w:t xml:space="preserve"> (Core)</w:t>
            </w:r>
          </w:p>
        </w:tc>
        <w:tc>
          <w:tcPr>
            <w:tcW w:w="4388" w:type="dxa"/>
          </w:tcPr>
          <w:p w14:paraId="315A2EFD" w14:textId="5620642C" w:rsidR="00E55E3B" w:rsidRDefault="00465ACB" w:rsidP="00DA7657">
            <w:pPr>
              <w:pStyle w:val="Table10ptText-ASDEFCON"/>
            </w:pPr>
            <w:r>
              <w:t>Schedule CS1: Core Services OD to X</w:t>
            </w:r>
          </w:p>
          <w:p w14:paraId="11CBBB7D" w14:textId="768D973F" w:rsidR="00465ACB" w:rsidRDefault="00465ACB" w:rsidP="00E55E3B">
            <w:pPr>
              <w:pStyle w:val="Table10ptText-ASDEFCON"/>
              <w:rPr>
                <w:i/>
              </w:rPr>
            </w:pPr>
            <w:r>
              <w:rPr>
                <w:i/>
              </w:rPr>
              <w:t>Schedule CS2: Core Services X to Y</w:t>
            </w:r>
          </w:p>
          <w:p w14:paraId="10B62652" w14:textId="748762D9" w:rsidR="00465ACB" w:rsidRDefault="00465ACB" w:rsidP="00E55E3B">
            <w:pPr>
              <w:pStyle w:val="Table10ptText-ASDEFCON"/>
              <w:rPr>
                <w:i/>
              </w:rPr>
            </w:pPr>
            <w:r>
              <w:rPr>
                <w:i/>
              </w:rPr>
              <w:t xml:space="preserve">Schedule CS3: Core Services </w:t>
            </w:r>
            <w:r w:rsidR="00175D38">
              <w:rPr>
                <w:i/>
              </w:rPr>
              <w:t>Y to Z</w:t>
            </w:r>
          </w:p>
          <w:p w14:paraId="4831FF7D" w14:textId="77777777" w:rsidR="00465ACB" w:rsidRDefault="00465ACB" w:rsidP="00E55E3B">
            <w:pPr>
              <w:pStyle w:val="Table10ptText-ASDEFCON"/>
              <w:rPr>
                <w:i/>
              </w:rPr>
            </w:pPr>
            <w:r>
              <w:rPr>
                <w:i/>
              </w:rPr>
              <w:t>…</w:t>
            </w:r>
          </w:p>
          <w:p w14:paraId="21759366" w14:textId="4FB0F1CB" w:rsidR="00465ACB" w:rsidRPr="00151C64" w:rsidRDefault="00465ACB" w:rsidP="001F57C4">
            <w:pPr>
              <w:pStyle w:val="Table10ptText-ASDEFCON"/>
              <w:rPr>
                <w:i/>
              </w:rPr>
            </w:pPr>
            <w:r>
              <w:rPr>
                <w:i/>
              </w:rPr>
              <w:t>Schedule ES</w:t>
            </w:r>
            <w:r w:rsidR="001F57C4">
              <w:rPr>
                <w:i/>
              </w:rPr>
              <w:t>1</w:t>
            </w:r>
            <w:r>
              <w:rPr>
                <w:i/>
              </w:rPr>
              <w:t>: Excluded Services</w:t>
            </w:r>
          </w:p>
        </w:tc>
      </w:tr>
      <w:tr w:rsidR="00F4694B" w14:paraId="53841230" w14:textId="77777777" w:rsidTr="0066706F">
        <w:tc>
          <w:tcPr>
            <w:tcW w:w="828" w:type="dxa"/>
          </w:tcPr>
          <w:p w14:paraId="76F29E67" w14:textId="05CF0354" w:rsidR="00F4694B" w:rsidRDefault="00F4694B" w:rsidP="00E55E3B">
            <w:pPr>
              <w:pStyle w:val="Table10ptText-ASDEFCON"/>
              <w:jc w:val="center"/>
            </w:pPr>
            <w:r>
              <w:t>C</w:t>
            </w:r>
          </w:p>
        </w:tc>
        <w:tc>
          <w:tcPr>
            <w:tcW w:w="3845" w:type="dxa"/>
          </w:tcPr>
          <w:p w14:paraId="54B3D3BF" w14:textId="219CB1A2" w:rsidR="00F4694B" w:rsidRPr="0066273A" w:rsidRDefault="00F4694B" w:rsidP="00ED7387">
            <w:pPr>
              <w:pStyle w:val="Table10ptText-ASDEFCON"/>
            </w:pPr>
            <w:r>
              <w:t>Performance Payments (Core)</w:t>
            </w:r>
          </w:p>
        </w:tc>
        <w:tc>
          <w:tcPr>
            <w:tcW w:w="4388" w:type="dxa"/>
          </w:tcPr>
          <w:p w14:paraId="11CF29D2" w14:textId="0F868E5D" w:rsidR="00F4694B" w:rsidRDefault="00175D38" w:rsidP="00E55E3B">
            <w:pPr>
              <w:pStyle w:val="Table10ptText-ASDEFCON"/>
              <w:rPr>
                <w:i/>
              </w:rPr>
            </w:pPr>
            <w:r>
              <w:rPr>
                <w:i/>
              </w:rPr>
              <w:t>(no schedules)</w:t>
            </w:r>
          </w:p>
        </w:tc>
      </w:tr>
      <w:tr w:rsidR="0026163E" w14:paraId="57646170" w14:textId="77777777" w:rsidTr="003B6E5A">
        <w:tc>
          <w:tcPr>
            <w:tcW w:w="828" w:type="dxa"/>
          </w:tcPr>
          <w:p w14:paraId="05F5C0D1" w14:textId="3E4328D2" w:rsidR="0026163E" w:rsidRDefault="00F4694B" w:rsidP="0066706F">
            <w:pPr>
              <w:pStyle w:val="Table10ptText-ASDEFCON"/>
              <w:jc w:val="center"/>
            </w:pPr>
            <w:r>
              <w:t>D</w:t>
            </w:r>
          </w:p>
        </w:tc>
        <w:tc>
          <w:tcPr>
            <w:tcW w:w="3845" w:type="dxa"/>
          </w:tcPr>
          <w:p w14:paraId="3FF2B3CB" w14:textId="416CCDBB" w:rsidR="0026163E" w:rsidRPr="0066273A" w:rsidRDefault="0026163E" w:rsidP="00E55E3B">
            <w:pPr>
              <w:pStyle w:val="Table10ptText-ASDEFCON"/>
            </w:pPr>
            <w:r w:rsidRPr="0066273A">
              <w:t>Task-Priced Services</w:t>
            </w:r>
            <w:r>
              <w:t xml:space="preserve"> (Core)</w:t>
            </w:r>
          </w:p>
        </w:tc>
        <w:tc>
          <w:tcPr>
            <w:tcW w:w="4388" w:type="dxa"/>
          </w:tcPr>
          <w:p w14:paraId="5CE8507B" w14:textId="42D9F761" w:rsidR="0026163E" w:rsidRPr="00FC4375" w:rsidRDefault="00465ACB" w:rsidP="00E55E3B">
            <w:pPr>
              <w:pStyle w:val="Table10ptText-ASDEFCON"/>
              <w:rPr>
                <w:i/>
              </w:rPr>
            </w:pPr>
            <w:r>
              <w:rPr>
                <w:i/>
              </w:rPr>
              <w:t>Task Priced Services</w:t>
            </w:r>
          </w:p>
        </w:tc>
      </w:tr>
      <w:tr w:rsidR="0026163E" w14:paraId="67B72618" w14:textId="77777777" w:rsidTr="003B6E5A">
        <w:tc>
          <w:tcPr>
            <w:tcW w:w="828" w:type="dxa"/>
          </w:tcPr>
          <w:p w14:paraId="6F835BFD" w14:textId="45193AAA" w:rsidR="0026163E" w:rsidRDefault="00F4694B" w:rsidP="0066706F">
            <w:pPr>
              <w:pStyle w:val="Table10ptText-ASDEFCON"/>
              <w:jc w:val="center"/>
            </w:pPr>
            <w:r>
              <w:t>E</w:t>
            </w:r>
          </w:p>
        </w:tc>
        <w:tc>
          <w:tcPr>
            <w:tcW w:w="3845" w:type="dxa"/>
          </w:tcPr>
          <w:p w14:paraId="1D6CF4B2" w14:textId="14C6166B" w:rsidR="0026163E" w:rsidRPr="0066273A" w:rsidRDefault="0026163E" w:rsidP="00E55E3B">
            <w:pPr>
              <w:pStyle w:val="Table10ptText-ASDEFCON"/>
            </w:pPr>
            <w:r w:rsidRPr="0066273A">
              <w:t>S</w:t>
            </w:r>
            <w:r>
              <w:t>&amp;</w:t>
            </w:r>
            <w:r w:rsidRPr="0066273A">
              <w:t>Q Services</w:t>
            </w:r>
            <w:r>
              <w:t xml:space="preserve"> (Core)</w:t>
            </w:r>
          </w:p>
        </w:tc>
        <w:tc>
          <w:tcPr>
            <w:tcW w:w="4388" w:type="dxa"/>
          </w:tcPr>
          <w:p w14:paraId="77F406D6" w14:textId="7A94828F" w:rsidR="0026163E" w:rsidRPr="00FC4375" w:rsidRDefault="00465ACB" w:rsidP="00E55E3B">
            <w:pPr>
              <w:pStyle w:val="Table10ptText-ASDEFCON"/>
              <w:rPr>
                <w:i/>
              </w:rPr>
            </w:pPr>
            <w:r>
              <w:rPr>
                <w:i/>
              </w:rPr>
              <w:t>S and Q Services</w:t>
            </w:r>
          </w:p>
        </w:tc>
      </w:tr>
      <w:tr w:rsidR="0026163E" w14:paraId="7657927C" w14:textId="77777777" w:rsidTr="003B6E5A">
        <w:tc>
          <w:tcPr>
            <w:tcW w:w="828" w:type="dxa"/>
          </w:tcPr>
          <w:p w14:paraId="2602DF21" w14:textId="485FA65E" w:rsidR="0026163E" w:rsidRDefault="00F4694B" w:rsidP="0066706F">
            <w:pPr>
              <w:pStyle w:val="Table10ptText-ASDEFCON"/>
              <w:jc w:val="center"/>
            </w:pPr>
            <w:r>
              <w:t>F</w:t>
            </w:r>
          </w:p>
        </w:tc>
        <w:tc>
          <w:tcPr>
            <w:tcW w:w="3845" w:type="dxa"/>
          </w:tcPr>
          <w:p w14:paraId="5736B979" w14:textId="7049CBD8" w:rsidR="0026163E" w:rsidRPr="0066273A" w:rsidRDefault="00465ACB" w:rsidP="00465ACB">
            <w:pPr>
              <w:pStyle w:val="Table10ptText-ASDEFCON"/>
            </w:pPr>
            <w:r w:rsidRPr="0066273A">
              <w:t>Adjustments</w:t>
            </w:r>
            <w:r>
              <w:t xml:space="preserve"> (Core)</w:t>
            </w:r>
          </w:p>
        </w:tc>
        <w:tc>
          <w:tcPr>
            <w:tcW w:w="4388" w:type="dxa"/>
          </w:tcPr>
          <w:p w14:paraId="6976318B" w14:textId="02EA7039" w:rsidR="0026163E" w:rsidRPr="00FC4375" w:rsidRDefault="00465ACB" w:rsidP="00465ACB">
            <w:pPr>
              <w:pStyle w:val="Table10ptText-ASDEFCON"/>
              <w:rPr>
                <w:i/>
              </w:rPr>
            </w:pPr>
            <w:r>
              <w:rPr>
                <w:i/>
              </w:rPr>
              <w:t>Adjustments</w:t>
            </w:r>
          </w:p>
        </w:tc>
      </w:tr>
      <w:tr w:rsidR="0026163E" w14:paraId="7D03FB7E" w14:textId="77777777" w:rsidTr="003B6E5A">
        <w:tc>
          <w:tcPr>
            <w:tcW w:w="828" w:type="dxa"/>
          </w:tcPr>
          <w:p w14:paraId="3F849E37" w14:textId="228A2A92" w:rsidR="0026163E" w:rsidRDefault="00F4694B" w:rsidP="0066706F">
            <w:pPr>
              <w:pStyle w:val="Table10ptText-ASDEFCON"/>
              <w:jc w:val="center"/>
            </w:pPr>
            <w:r>
              <w:t>G</w:t>
            </w:r>
          </w:p>
        </w:tc>
        <w:tc>
          <w:tcPr>
            <w:tcW w:w="3845" w:type="dxa"/>
          </w:tcPr>
          <w:p w14:paraId="5DB68589" w14:textId="74888EFA" w:rsidR="0026163E" w:rsidRPr="0066273A" w:rsidRDefault="00465ACB" w:rsidP="00E55E3B">
            <w:pPr>
              <w:pStyle w:val="Table10ptText-ASDEFCON"/>
            </w:pPr>
            <w:r>
              <w:t>Contractor Standing Capability Pricing (Optional)</w:t>
            </w:r>
          </w:p>
        </w:tc>
        <w:tc>
          <w:tcPr>
            <w:tcW w:w="4388" w:type="dxa"/>
          </w:tcPr>
          <w:p w14:paraId="3E2DC5A4" w14:textId="1880B48F" w:rsidR="0026163E" w:rsidRPr="00FC4375" w:rsidRDefault="00484E93" w:rsidP="00E55E3B">
            <w:pPr>
              <w:pStyle w:val="Table10ptText-ASDEFCON"/>
              <w:rPr>
                <w:i/>
              </w:rPr>
            </w:pPr>
            <w:bookmarkStart w:id="1" w:name="_Ref79648945"/>
            <w:r>
              <w:rPr>
                <w:i/>
              </w:rPr>
              <w:t>Contractor</w:t>
            </w:r>
            <w:r w:rsidR="00701F87">
              <w:rPr>
                <w:i/>
              </w:rPr>
              <w:t xml:space="preserve"> </w:t>
            </w:r>
            <w:r>
              <w:rPr>
                <w:i/>
              </w:rPr>
              <w:t>Standing</w:t>
            </w:r>
            <w:r w:rsidR="00701F87">
              <w:rPr>
                <w:i/>
              </w:rPr>
              <w:t xml:space="preserve"> </w:t>
            </w:r>
            <w:r>
              <w:rPr>
                <w:i/>
              </w:rPr>
              <w:t>Capability</w:t>
            </w:r>
          </w:p>
        </w:tc>
        <w:bookmarkEnd w:id="1"/>
      </w:tr>
    </w:tbl>
    <w:p w14:paraId="0A1F4523" w14:textId="51458468" w:rsidR="00E55E3B" w:rsidRDefault="00E55E3B" w:rsidP="00DA7657">
      <w:pPr>
        <w:pStyle w:val="ASDEFCONNormal"/>
      </w:pPr>
    </w:p>
    <w:p w14:paraId="619E622C" w14:textId="77777777" w:rsidR="00EC2E38" w:rsidRDefault="00EC2E38" w:rsidP="00DA7657">
      <w:pPr>
        <w:pStyle w:val="COTCOCLV3-ASDEFCON"/>
      </w:pPr>
      <w:r w:rsidRPr="0066273A">
        <w:t xml:space="preserve">The dates specified in the Delivery Schedule at Attachment C shall have precedence over any dates specified in this Attachment </w:t>
      </w:r>
      <w:r>
        <w:t xml:space="preserve">B </w:t>
      </w:r>
      <w:r w:rsidRPr="0066273A">
        <w:t>in the event of any inconsistency.</w:t>
      </w:r>
    </w:p>
    <w:p w14:paraId="0BE9FC48" w14:textId="50C6AF93" w:rsidR="00EF13FD" w:rsidRDefault="00EC2E38" w:rsidP="003B6E5A">
      <w:pPr>
        <w:pStyle w:val="COTCOCLV3-ASDEFCON"/>
      </w:pPr>
      <w:r w:rsidRPr="008A3CFC">
        <w:t xml:space="preserve">The obligations of the Commonwealth under this </w:t>
      </w:r>
      <w:r>
        <w:t xml:space="preserve">Attachment B </w:t>
      </w:r>
      <w:r w:rsidRPr="008A3CFC">
        <w:t>are subject to</w:t>
      </w:r>
      <w:r>
        <w:t xml:space="preserve"> the</w:t>
      </w:r>
      <w:r w:rsidRPr="008A3CFC">
        <w:t>:</w:t>
      </w:r>
    </w:p>
    <w:p w14:paraId="07E7F61C" w14:textId="77777777" w:rsidR="00EC2E38" w:rsidRDefault="00EC2E38" w:rsidP="00DA7657">
      <w:pPr>
        <w:pStyle w:val="ATTANNLV3-ASDEFCON"/>
      </w:pPr>
      <w:r w:rsidRPr="008A3CFC">
        <w:t xml:space="preserve">Contractor making a claim for payment in accordance with clause </w:t>
      </w:r>
      <w:r w:rsidR="004B5AB5">
        <w:t>7.3</w:t>
      </w:r>
      <w:r>
        <w:t xml:space="preserve"> of the COC; and</w:t>
      </w:r>
    </w:p>
    <w:p w14:paraId="68D94538" w14:textId="478B798D" w:rsidR="00EC2E38" w:rsidRPr="00810E88" w:rsidRDefault="00EC2E38" w:rsidP="00500BD5">
      <w:pPr>
        <w:pStyle w:val="ATTANNLV3-ASDEFCON"/>
      </w:pPr>
      <w:r w:rsidRPr="008A3CFC">
        <w:lastRenderedPageBreak/>
        <w:t xml:space="preserve">other provisions of </w:t>
      </w:r>
      <w:r>
        <w:t xml:space="preserve">the </w:t>
      </w:r>
      <w:r w:rsidRPr="008A3CFC">
        <w:t>Contract</w:t>
      </w:r>
      <w:r>
        <w:t>.</w:t>
      </w:r>
    </w:p>
    <w:p w14:paraId="6D959BD9" w14:textId="19148E11" w:rsidR="00EF13FD" w:rsidRPr="004D29AD" w:rsidRDefault="00EC2E38" w:rsidP="003B6E5A">
      <w:pPr>
        <w:pStyle w:val="COTCOCLV3-ASDEFCON"/>
      </w:pPr>
      <w:r w:rsidRPr="00F347EC">
        <w:t xml:space="preserve">Except where expressly indicated to the contrary, the amounts set out in </w:t>
      </w:r>
      <w:r>
        <w:t>this Attachment B</w:t>
      </w:r>
      <w:r w:rsidRPr="00F347EC">
        <w:t xml:space="preserve"> are inclusive of all costs and other payments associated with </w:t>
      </w:r>
      <w:r>
        <w:t>providing the Services</w:t>
      </w:r>
      <w:r w:rsidRPr="00F347EC">
        <w:t xml:space="preserve"> </w:t>
      </w:r>
      <w:r>
        <w:t xml:space="preserve">(including achieving the Milestones) </w:t>
      </w:r>
      <w:r w:rsidRPr="00C650ED">
        <w:t>and carrying out all matters and doing all things necessary for the due and proper performance and completion of the Contract</w:t>
      </w:r>
      <w:r>
        <w:t xml:space="preserve">. </w:t>
      </w:r>
      <w:r w:rsidR="00EF13FD">
        <w:t xml:space="preserve"> </w:t>
      </w:r>
      <w:r>
        <w:t>This includes all l</w:t>
      </w:r>
      <w:r w:rsidRPr="00C650ED">
        <w:t>icence fees, royalty payments</w:t>
      </w:r>
      <w:r>
        <w:t>,</w:t>
      </w:r>
      <w:r w:rsidRPr="00C650ED">
        <w:t xml:space="preserve"> overseas taxes, duties and charges</w:t>
      </w:r>
      <w:r>
        <w:t>,</w:t>
      </w:r>
      <w:r w:rsidRPr="00C650ED">
        <w:t xml:space="preserve"> Australian (Federal, State and Local Government) taxes including GST, customs and other duties and charges </w:t>
      </w:r>
      <w:r>
        <w:t>and</w:t>
      </w:r>
      <w:r w:rsidRPr="004D1BA9">
        <w:rPr>
          <w:szCs w:val="20"/>
        </w:rPr>
        <w:t xml:space="preserve"> arranging customs clearance and services of representatives</w:t>
      </w:r>
      <w:r>
        <w:rPr>
          <w:szCs w:val="20"/>
        </w:rPr>
        <w:t>.</w:t>
      </w:r>
      <w:bookmarkEnd w:id="0"/>
    </w:p>
    <w:p w14:paraId="293DDB37" w14:textId="53AEF803" w:rsidR="00EC2E38" w:rsidRPr="0066273A" w:rsidRDefault="00A2458D" w:rsidP="00DA7657">
      <w:pPr>
        <w:pStyle w:val="COTCOCLV1-ASDEFCON"/>
      </w:pPr>
      <w:bookmarkStart w:id="2" w:name="_Toc83108955"/>
      <w:bookmarkStart w:id="3" w:name="_Toc83108993"/>
      <w:bookmarkStart w:id="4" w:name="_Toc83109014"/>
      <w:bookmarkStart w:id="5" w:name="_Toc83109035"/>
      <w:bookmarkStart w:id="6" w:name="_Toc83109056"/>
      <w:bookmarkStart w:id="7" w:name="_Toc83108956"/>
      <w:bookmarkStart w:id="8" w:name="_Toc83108994"/>
      <w:bookmarkStart w:id="9" w:name="_Toc83109015"/>
      <w:bookmarkStart w:id="10" w:name="_Toc83109036"/>
      <w:bookmarkStart w:id="11" w:name="_Toc83109057"/>
      <w:bookmarkStart w:id="12" w:name="_Toc83108957"/>
      <w:bookmarkStart w:id="13" w:name="_Toc83108995"/>
      <w:bookmarkStart w:id="14" w:name="_Toc83109016"/>
      <w:bookmarkStart w:id="15" w:name="_Toc83109037"/>
      <w:bookmarkStart w:id="16" w:name="_Toc83109058"/>
      <w:bookmarkStart w:id="17" w:name="_Toc79580084"/>
      <w:bookmarkStart w:id="18" w:name="_Toc79646454"/>
      <w:bookmarkStart w:id="19" w:name="_Toc79646535"/>
      <w:bookmarkStart w:id="20" w:name="_Toc83021033"/>
      <w:bookmarkStart w:id="21" w:name="_Toc83108958"/>
      <w:bookmarkStart w:id="22" w:name="_Toc83108996"/>
      <w:bookmarkStart w:id="23" w:name="_Toc83109017"/>
      <w:bookmarkStart w:id="24" w:name="_Toc83109038"/>
      <w:bookmarkStart w:id="25" w:name="_Toc83109059"/>
      <w:bookmarkStart w:id="26" w:name="_Ref79649200"/>
      <w:bookmarkStart w:id="27" w:name="_Ref79762279"/>
      <w:bookmarkStart w:id="28" w:name="_Toc9781114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t xml:space="preserve">Mobilisation Payments and </w:t>
      </w:r>
      <w:r w:rsidRPr="0066273A">
        <w:t xml:space="preserve">Milestone Payments </w:t>
      </w:r>
      <w:r w:rsidR="00EC2E38" w:rsidRPr="0066273A">
        <w:t>(CORE)</w:t>
      </w:r>
      <w:bookmarkEnd w:id="26"/>
      <w:bookmarkEnd w:id="27"/>
      <w:bookmarkEnd w:id="28"/>
    </w:p>
    <w:p w14:paraId="450F8E9E" w14:textId="6BE8E11E" w:rsidR="00EC2E38" w:rsidRDefault="00EC2E38" w:rsidP="00DA7657">
      <w:pPr>
        <w:pStyle w:val="NoteToTenderers-ASDEFCON"/>
      </w:pPr>
      <w:r w:rsidRPr="0066273A">
        <w:t xml:space="preserve">Note to tenderers:  </w:t>
      </w:r>
      <w:r w:rsidR="00280B4A">
        <w:t xml:space="preserve">Clause </w:t>
      </w:r>
      <w:r w:rsidR="00280B4A">
        <w:fldChar w:fldCharType="begin"/>
      </w:r>
      <w:r w:rsidR="00280B4A">
        <w:instrText xml:space="preserve"> REF _Ref79649200 \r \h </w:instrText>
      </w:r>
      <w:r w:rsidR="00280B4A">
        <w:fldChar w:fldCharType="separate"/>
      </w:r>
      <w:r w:rsidR="007B78E8">
        <w:t>2</w:t>
      </w:r>
      <w:r w:rsidR="00280B4A">
        <w:fldChar w:fldCharType="end"/>
      </w:r>
      <w:r w:rsidR="00280B4A">
        <w:t xml:space="preserve"> and </w:t>
      </w:r>
      <w:r w:rsidRPr="0066273A">
        <w:t>Annex A will consist of an amalgamation of the price schedules in TDR D</w:t>
      </w:r>
      <w:r w:rsidR="00280B4A">
        <w:t>-2</w:t>
      </w:r>
      <w:r w:rsidRPr="0066273A">
        <w:t>, the successful tenderer’s response, and any negotiated adjustments.</w:t>
      </w:r>
    </w:p>
    <w:p w14:paraId="00DF21BD" w14:textId="7A2BCF28" w:rsidR="00EC2E38" w:rsidRPr="00567D53" w:rsidRDefault="00415EE1" w:rsidP="00DA7657">
      <w:pPr>
        <w:pStyle w:val="COTCOCLV2-ASDEFCON"/>
      </w:pPr>
      <w:r w:rsidRPr="00567D53">
        <w:t>Introduction</w:t>
      </w:r>
    </w:p>
    <w:p w14:paraId="0B1DF713" w14:textId="0B6D3A8C" w:rsidR="00EC2E38" w:rsidRPr="008A3CFC" w:rsidRDefault="00EC2E38" w:rsidP="000A2B2F">
      <w:pPr>
        <w:pStyle w:val="COTCOCLV3-ASDEFCON"/>
      </w:pPr>
      <w:r w:rsidRPr="008A3CFC">
        <w:t xml:space="preserve">This </w:t>
      </w:r>
      <w:r w:rsidR="00280B4A">
        <w:t xml:space="preserve">clause </w:t>
      </w:r>
      <w:r w:rsidR="00280B4A">
        <w:fldChar w:fldCharType="begin"/>
      </w:r>
      <w:r w:rsidR="00280B4A">
        <w:instrText xml:space="preserve"> REF _Ref79649200 \r \h </w:instrText>
      </w:r>
      <w:r w:rsidR="00280B4A">
        <w:fldChar w:fldCharType="separate"/>
      </w:r>
      <w:r w:rsidR="007B78E8">
        <w:t>2</w:t>
      </w:r>
      <w:r w:rsidR="00280B4A">
        <w:fldChar w:fldCharType="end"/>
      </w:r>
      <w:r>
        <w:t xml:space="preserve"> </w:t>
      </w:r>
      <w:r w:rsidRPr="008A3CFC">
        <w:t xml:space="preserve">describes the </w:t>
      </w:r>
      <w:r>
        <w:t xml:space="preserve">amounts </w:t>
      </w:r>
      <w:r w:rsidRPr="008A3CFC">
        <w:t xml:space="preserve">payable </w:t>
      </w:r>
      <w:r>
        <w:t xml:space="preserve">by the Commonwealth </w:t>
      </w:r>
      <w:r w:rsidRPr="008A3CFC">
        <w:t xml:space="preserve">to the Contractor </w:t>
      </w:r>
      <w:r>
        <w:t xml:space="preserve">for </w:t>
      </w:r>
      <w:r w:rsidRPr="008A3CFC">
        <w:t xml:space="preserve">the </w:t>
      </w:r>
      <w:r>
        <w:t>achievement of Milestones</w:t>
      </w:r>
      <w:r w:rsidRPr="00EA3CAC">
        <w:t xml:space="preserve"> </w:t>
      </w:r>
      <w:r>
        <w:rPr>
          <w:b/>
        </w:rPr>
        <w:fldChar w:fldCharType="begin">
          <w:ffData>
            <w:name w:val=""/>
            <w:enabled/>
            <w:calcOnExit w:val="0"/>
            <w:textInput>
              <w:default w:val="(INSERT THE FOLLOWING WHERE A MOBILISATION PAYMENT HAS BEEN AGREED, “or as a Mobilisation Payment”)"/>
            </w:textInput>
          </w:ffData>
        </w:fldChar>
      </w:r>
      <w:r>
        <w:rPr>
          <w:b/>
        </w:rPr>
        <w:instrText xml:space="preserve"> FORMTEXT </w:instrText>
      </w:r>
      <w:r>
        <w:rPr>
          <w:b/>
        </w:rPr>
      </w:r>
      <w:r>
        <w:rPr>
          <w:b/>
        </w:rPr>
        <w:fldChar w:fldCharType="separate"/>
      </w:r>
      <w:r w:rsidR="0084067C">
        <w:rPr>
          <w:b/>
          <w:noProof/>
        </w:rPr>
        <w:t>(INSERT THE FOLLOWING WHERE A MOBILISATION PAYMENT HAS BEEN AGREED, “or as a Mobilisation Payment”)</w:t>
      </w:r>
      <w:r>
        <w:rPr>
          <w:b/>
        </w:rPr>
        <w:fldChar w:fldCharType="end"/>
      </w:r>
      <w:r>
        <w:t xml:space="preserve"> in accordance with the </w:t>
      </w:r>
      <w:r w:rsidRPr="008A3CFC">
        <w:t>Contract.</w:t>
      </w:r>
    </w:p>
    <w:p w14:paraId="179C5C36" w14:textId="7FE4801C" w:rsidR="00EC2E38" w:rsidRPr="0066273A" w:rsidRDefault="00CC6888" w:rsidP="00DA7657">
      <w:pPr>
        <w:pStyle w:val="COTCOCLV2-ASDEFCON"/>
      </w:pPr>
      <w:r w:rsidRPr="0066273A">
        <w:t xml:space="preserve">Mobilisation Payment </w:t>
      </w:r>
      <w:r w:rsidR="00EC2E38" w:rsidRPr="0066273A">
        <w:t>(</w:t>
      </w:r>
      <w:r w:rsidR="00EC2E38">
        <w:t>RFT CORE</w:t>
      </w:r>
      <w:r w:rsidR="00EC2E38" w:rsidRPr="0066273A">
        <w:t>)</w:t>
      </w:r>
    </w:p>
    <w:p w14:paraId="648A4D75" w14:textId="4FB12B76" w:rsidR="00EC2E38" w:rsidRDefault="00EC2E38" w:rsidP="00280B4A">
      <w:pPr>
        <w:pStyle w:val="COTCOCLV3-ASDEFCON"/>
      </w:pPr>
      <w:r w:rsidRPr="0066273A">
        <w:t xml:space="preserve">The amount of the Mobilisation Payment </w:t>
      </w:r>
      <w:r>
        <w:t xml:space="preserve">is </w:t>
      </w:r>
      <w:r w:rsidR="004B5AB5" w:rsidRPr="004D29AD">
        <w:rPr>
          <w:b/>
        </w:rPr>
        <w:fldChar w:fldCharType="begin">
          <w:ffData>
            <w:name w:val=""/>
            <w:enabled/>
            <w:calcOnExit w:val="0"/>
            <w:textInput>
              <w:default w:val="(INSERT AMOUNT OF MOBILISATION PAYMENT)"/>
            </w:textInput>
          </w:ffData>
        </w:fldChar>
      </w:r>
      <w:r w:rsidR="004B5AB5" w:rsidRPr="003B6E5A">
        <w:rPr>
          <w:b/>
        </w:rPr>
        <w:instrText xml:space="preserve"> FORMTEXT </w:instrText>
      </w:r>
      <w:r w:rsidR="004B5AB5" w:rsidRPr="004D29AD">
        <w:rPr>
          <w:b/>
        </w:rPr>
      </w:r>
      <w:r w:rsidR="004B5AB5" w:rsidRPr="004D29AD">
        <w:rPr>
          <w:b/>
        </w:rPr>
        <w:fldChar w:fldCharType="separate"/>
      </w:r>
      <w:r w:rsidR="0084067C" w:rsidRPr="003B6E5A">
        <w:rPr>
          <w:b/>
          <w:noProof/>
        </w:rPr>
        <w:t>(INSERT AMOUNT OF MOBILISATION PAYMENT)</w:t>
      </w:r>
      <w:r w:rsidR="004B5AB5" w:rsidRPr="004D29AD">
        <w:rPr>
          <w:b/>
        </w:rPr>
        <w:fldChar w:fldCharType="end"/>
      </w:r>
      <w:r>
        <w:t>.</w:t>
      </w:r>
    </w:p>
    <w:p w14:paraId="28CA6ECA" w14:textId="4C90FFC5" w:rsidR="00EC2E38" w:rsidRPr="00172068" w:rsidRDefault="00EC2E38" w:rsidP="00280B4A">
      <w:pPr>
        <w:pStyle w:val="COTCOCLV3-ASDEFCON"/>
      </w:pPr>
      <w:r>
        <w:t>T</w:t>
      </w:r>
      <w:r w:rsidRPr="00623225">
        <w:t>he Commonwealth shall pay to the Contractor</w:t>
      </w:r>
      <w:r>
        <w:t xml:space="preserve"> the Mobilisation Payment</w:t>
      </w:r>
      <w:r w:rsidRPr="008A3CFC">
        <w:t xml:space="preserve"> </w:t>
      </w:r>
      <w:r>
        <w:t xml:space="preserve">upon </w:t>
      </w:r>
      <w:r>
        <w:rPr>
          <w:b/>
        </w:rPr>
        <w:fldChar w:fldCharType="begin">
          <w:ffData>
            <w:name w:val=""/>
            <w:enabled/>
            <w:calcOnExit w:val="0"/>
            <w:textInput>
              <w:default w:val="(INSERT CRITERIA FOR MOBILISATION PAYMENT)"/>
            </w:textInput>
          </w:ffData>
        </w:fldChar>
      </w:r>
      <w:r>
        <w:rPr>
          <w:b/>
        </w:rPr>
        <w:instrText xml:space="preserve"> FORMTEXT </w:instrText>
      </w:r>
      <w:r>
        <w:rPr>
          <w:b/>
        </w:rPr>
      </w:r>
      <w:r>
        <w:rPr>
          <w:b/>
        </w:rPr>
        <w:fldChar w:fldCharType="separate"/>
      </w:r>
      <w:r w:rsidR="0084067C">
        <w:rPr>
          <w:b/>
          <w:noProof/>
        </w:rPr>
        <w:t>(INSERT CRITERIA FOR MOBILISATION PAYMENT)</w:t>
      </w:r>
      <w:r>
        <w:rPr>
          <w:b/>
        </w:rPr>
        <w:fldChar w:fldCharType="end"/>
      </w:r>
      <w:r w:rsidR="00992F39" w:rsidRPr="00992F39">
        <w:t>.</w:t>
      </w:r>
    </w:p>
    <w:p w14:paraId="7908FF1D" w14:textId="75983F24" w:rsidR="00EC2E38" w:rsidRDefault="00EC2E38" w:rsidP="00DA7657">
      <w:pPr>
        <w:pStyle w:val="COTCOCLV2-ASDEFCON"/>
      </w:pPr>
      <w:bookmarkStart w:id="29" w:name="_Ref293570223"/>
      <w:r w:rsidRPr="0066273A">
        <w:t>Milestones</w:t>
      </w:r>
      <w:bookmarkEnd w:id="29"/>
    </w:p>
    <w:p w14:paraId="2B37CC9E" w14:textId="1E647B9B" w:rsidR="003F6585" w:rsidRPr="002A29EA" w:rsidRDefault="003F6585" w:rsidP="00DA7657">
      <w:pPr>
        <w:pStyle w:val="NoteToDrafters-ASDEFCON"/>
      </w:pPr>
      <w:r w:rsidRPr="002A29EA">
        <w:t xml:space="preserve">Note to drafters:  Prior to RFT release drafters </w:t>
      </w:r>
      <w:r>
        <w:t>need to</w:t>
      </w:r>
      <w:r w:rsidRPr="002A29EA">
        <w:t xml:space="preserve"> </w:t>
      </w:r>
      <w:r>
        <w:t>populate</w:t>
      </w:r>
      <w:r w:rsidRPr="002A29EA">
        <w:t xml:space="preserve"> the</w:t>
      </w:r>
      <w:r>
        <w:t xml:space="preserve"> ‘Milestone Schedule’ </w:t>
      </w:r>
      <w:r w:rsidR="001419CB">
        <w:t>worksheet</w:t>
      </w:r>
      <w:r>
        <w:t xml:space="preserve"> of the </w:t>
      </w:r>
      <w:r w:rsidR="000A2B2F">
        <w:t>SPTPW</w:t>
      </w:r>
      <w:r w:rsidR="00A9565E">
        <w:t>,</w:t>
      </w:r>
      <w:r w:rsidR="00B87473">
        <w:t xml:space="preserve"> consistent with the Milestones in draft Attachment C</w:t>
      </w:r>
      <w:r w:rsidRPr="002A29EA">
        <w:t>.</w:t>
      </w:r>
      <w:r>
        <w:t xml:space="preserve">  Refer to TDR D-2 for details.</w:t>
      </w:r>
    </w:p>
    <w:p w14:paraId="16B191C8" w14:textId="19D3E77C" w:rsidR="003F6585" w:rsidRDefault="003F6585" w:rsidP="00DA7657">
      <w:pPr>
        <w:pStyle w:val="NoteToTenderers-ASDEFCON"/>
      </w:pPr>
      <w:r w:rsidRPr="0066273A">
        <w:t xml:space="preserve">Note to tenderers:  </w:t>
      </w:r>
      <w:r>
        <w:t xml:space="preserve">Annex A </w:t>
      </w:r>
      <w:r w:rsidRPr="0066273A">
        <w:t xml:space="preserve">will consist of an amalgamation of the </w:t>
      </w:r>
      <w:r w:rsidR="000A2B2F">
        <w:t>SPTPW</w:t>
      </w:r>
      <w:r>
        <w:t xml:space="preserve"> ‘Milestone Schedule’ </w:t>
      </w:r>
      <w:r w:rsidR="00AD3B1C">
        <w:t>worksheet</w:t>
      </w:r>
      <w:r>
        <w:t xml:space="preserve"> for </w:t>
      </w:r>
      <w:r w:rsidRPr="0066273A">
        <w:t>the successful tenderer’s response</w:t>
      </w:r>
      <w:r w:rsidRPr="00E4765A">
        <w:t xml:space="preserve"> </w:t>
      </w:r>
      <w:r>
        <w:t xml:space="preserve">to </w:t>
      </w:r>
      <w:r w:rsidRPr="0066273A">
        <w:t xml:space="preserve">TDR </w:t>
      </w:r>
      <w:r>
        <w:t>D-3</w:t>
      </w:r>
      <w:r w:rsidRPr="0066273A">
        <w:t>, and any negotiated adjustments.</w:t>
      </w:r>
    </w:p>
    <w:p w14:paraId="35326AF7" w14:textId="6DCCE8AA" w:rsidR="003F6585" w:rsidRDefault="003F6585" w:rsidP="003F6585">
      <w:pPr>
        <w:pStyle w:val="COTCOCLV3-ASDEFCON"/>
      </w:pPr>
      <w:r>
        <w:t>The Milestone</w:t>
      </w:r>
      <w:r w:rsidR="009B6A5E">
        <w:t xml:space="preserve"> Payment</w:t>
      </w:r>
      <w:r>
        <w:t xml:space="preserve"> Schedule is detailed in the file: </w:t>
      </w:r>
      <w:r w:rsidR="00345A58">
        <w:fldChar w:fldCharType="begin">
          <w:ffData>
            <w:name w:val=""/>
            <w:enabled/>
            <w:calcOnExit w:val="0"/>
            <w:textInput>
              <w:default w:val="(…INSERT the file name for the &quot;Milestone Schedule&quot; from the workbook…)"/>
            </w:textInput>
          </w:ffData>
        </w:fldChar>
      </w:r>
      <w:r w:rsidR="00345A58">
        <w:instrText xml:space="preserve"> FORMTEXT </w:instrText>
      </w:r>
      <w:r w:rsidR="00345A58">
        <w:fldChar w:fldCharType="separate"/>
      </w:r>
      <w:r w:rsidR="00345A58">
        <w:rPr>
          <w:noProof/>
        </w:rPr>
        <w:t>(…INSERT the file name for the "Milestone Schedule" from the workbook…)</w:t>
      </w:r>
      <w:r w:rsidR="00345A58">
        <w:fldChar w:fldCharType="end"/>
      </w:r>
      <w:r>
        <w:t>, and forms Annex A to this Attachment.</w:t>
      </w:r>
    </w:p>
    <w:p w14:paraId="610E0C74" w14:textId="3987A86D" w:rsidR="009B6A5E" w:rsidRDefault="009B6A5E" w:rsidP="009B6A5E">
      <w:pPr>
        <w:pStyle w:val="COTCOCLV3-ASDEFCON"/>
      </w:pPr>
      <w:r>
        <w:t xml:space="preserve">Attachment C </w:t>
      </w:r>
      <w:r w:rsidRPr="0066273A">
        <w:t>sets out the Milestone</w:t>
      </w:r>
      <w:r>
        <w:t xml:space="preserve"> detail</w:t>
      </w:r>
      <w:r w:rsidRPr="0066273A">
        <w:t>s</w:t>
      </w:r>
      <w:r w:rsidRPr="009B6A5E">
        <w:t xml:space="preserve"> </w:t>
      </w:r>
      <w:r>
        <w:t>for the Contract</w:t>
      </w:r>
      <w:r w:rsidRPr="0066273A">
        <w:t xml:space="preserve">, </w:t>
      </w:r>
      <w:r>
        <w:t xml:space="preserve">including </w:t>
      </w:r>
      <w:r w:rsidRPr="0066273A">
        <w:t xml:space="preserve">the </w:t>
      </w:r>
      <w:r>
        <w:t xml:space="preserve">entry and exit </w:t>
      </w:r>
      <w:r w:rsidRPr="0066273A">
        <w:t xml:space="preserve">criteria </w:t>
      </w:r>
      <w:r>
        <w:t>and</w:t>
      </w:r>
      <w:r w:rsidRPr="0066273A">
        <w:t xml:space="preserve"> the Milestone Dates</w:t>
      </w:r>
      <w:r>
        <w:t>.  Annex A details</w:t>
      </w:r>
      <w:r w:rsidRPr="0066273A">
        <w:t xml:space="preserve"> the Milestone Payments</w:t>
      </w:r>
      <w:r>
        <w:t xml:space="preserve"> for the Contract (noting that some Milestones may </w:t>
      </w:r>
      <w:r w:rsidR="006422D7">
        <w:t xml:space="preserve">not </w:t>
      </w:r>
      <w:r>
        <w:t>have a Milestone Payment</w:t>
      </w:r>
      <w:r w:rsidR="009A1F20">
        <w:t xml:space="preserve"> (ie, ‘nil payment Milestones’</w:t>
      </w:r>
      <w:r>
        <w:t>)</w:t>
      </w:r>
      <w:r w:rsidRPr="0066273A">
        <w:t>.</w:t>
      </w:r>
    </w:p>
    <w:p w14:paraId="5C7316F4" w14:textId="5B694D76" w:rsidR="00EF13FD" w:rsidRDefault="00EC2E38">
      <w:pPr>
        <w:pStyle w:val="COTCOCLV3-ASDEFCON"/>
      </w:pPr>
      <w:r>
        <w:t xml:space="preserve">The Commonwealth shall, for achievement of a Milestone, pay to the Contractor the relevant Milestone Payment as specified in </w:t>
      </w:r>
      <w:r w:rsidR="003F6585">
        <w:t>the Milestone Schedule</w:t>
      </w:r>
      <w:r>
        <w:t>.</w:t>
      </w:r>
      <w:bookmarkStart w:id="30" w:name="_Ref424734788"/>
    </w:p>
    <w:p w14:paraId="28FCA1C5" w14:textId="1C5E528B" w:rsidR="00EC2E38" w:rsidRPr="0066273A" w:rsidRDefault="00EC2E38" w:rsidP="003F6585">
      <w:pPr>
        <w:pStyle w:val="COTCOCLV3-ASDEFCON"/>
      </w:pPr>
      <w:r w:rsidRPr="0066273A">
        <w:t xml:space="preserve">The Contractor is taken to have achieved a Milestone only if </w:t>
      </w:r>
      <w:r>
        <w:t xml:space="preserve">all of </w:t>
      </w:r>
      <w:r w:rsidRPr="0066273A">
        <w:t xml:space="preserve">the </w:t>
      </w:r>
      <w:r w:rsidR="000479FC">
        <w:t xml:space="preserve">corresponding </w:t>
      </w:r>
      <w:r w:rsidRPr="0066273A">
        <w:t>criteria for the Milestone</w:t>
      </w:r>
      <w:r w:rsidR="000479FC">
        <w:t>, as</w:t>
      </w:r>
      <w:r w:rsidRPr="0066273A">
        <w:t xml:space="preserve"> set out in </w:t>
      </w:r>
      <w:r w:rsidR="00B87473">
        <w:t>Attachment C</w:t>
      </w:r>
      <w:r w:rsidR="000479FC">
        <w:t>,</w:t>
      </w:r>
      <w:r w:rsidRPr="0066273A">
        <w:t xml:space="preserve"> have been satisfied.</w:t>
      </w:r>
      <w:bookmarkEnd w:id="30"/>
    </w:p>
    <w:p w14:paraId="4186BC67" w14:textId="50A63BE0" w:rsidR="00EC2E38" w:rsidRDefault="00A2458D" w:rsidP="00DA7657">
      <w:pPr>
        <w:pStyle w:val="COTCOCLV1-ASDEFCON"/>
      </w:pPr>
      <w:bookmarkStart w:id="31" w:name="_Toc83021035"/>
      <w:bookmarkStart w:id="32" w:name="_Toc83108960"/>
      <w:bookmarkStart w:id="33" w:name="_Toc83108998"/>
      <w:bookmarkStart w:id="34" w:name="_Toc83109019"/>
      <w:bookmarkStart w:id="35" w:name="_Toc83109040"/>
      <w:bookmarkStart w:id="36" w:name="_Toc83109061"/>
      <w:bookmarkStart w:id="37" w:name="_Toc83021037"/>
      <w:bookmarkStart w:id="38" w:name="_Toc83108962"/>
      <w:bookmarkStart w:id="39" w:name="_Toc83109000"/>
      <w:bookmarkStart w:id="40" w:name="_Toc83109021"/>
      <w:bookmarkStart w:id="41" w:name="_Toc83109042"/>
      <w:bookmarkStart w:id="42" w:name="_Toc83109063"/>
      <w:bookmarkStart w:id="43" w:name="_Toc83021038"/>
      <w:bookmarkStart w:id="44" w:name="_Toc83108963"/>
      <w:bookmarkStart w:id="45" w:name="_Toc83109001"/>
      <w:bookmarkStart w:id="46" w:name="_Toc83109022"/>
      <w:bookmarkStart w:id="47" w:name="_Toc83109043"/>
      <w:bookmarkStart w:id="48" w:name="_Toc83109064"/>
      <w:bookmarkStart w:id="49" w:name="_Toc83021039"/>
      <w:bookmarkStart w:id="50" w:name="_Toc83108964"/>
      <w:bookmarkStart w:id="51" w:name="_Toc83109002"/>
      <w:bookmarkStart w:id="52" w:name="_Toc83109023"/>
      <w:bookmarkStart w:id="53" w:name="_Toc83109044"/>
      <w:bookmarkStart w:id="54" w:name="_Toc83109065"/>
      <w:bookmarkStart w:id="55" w:name="_Toc79580086"/>
      <w:bookmarkStart w:id="56" w:name="_Toc79646456"/>
      <w:bookmarkStart w:id="57" w:name="_Toc79646537"/>
      <w:bookmarkStart w:id="58" w:name="_Toc83021040"/>
      <w:bookmarkStart w:id="59" w:name="_Toc83108965"/>
      <w:bookmarkStart w:id="60" w:name="_Toc83109003"/>
      <w:bookmarkStart w:id="61" w:name="_Toc83109024"/>
      <w:bookmarkStart w:id="62" w:name="_Toc83109045"/>
      <w:bookmarkStart w:id="63" w:name="_Toc83109066"/>
      <w:bookmarkStart w:id="64" w:name="_Ref79649171"/>
      <w:bookmarkStart w:id="65" w:name="_Ref520870319"/>
      <w:bookmarkStart w:id="66" w:name="_Toc97811148"/>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66273A">
        <w:t xml:space="preserve">Recurring Services </w:t>
      </w:r>
      <w:r w:rsidR="00EC2E38" w:rsidRPr="0066273A">
        <w:t>(CORE)</w:t>
      </w:r>
      <w:bookmarkEnd w:id="64"/>
      <w:bookmarkEnd w:id="66"/>
    </w:p>
    <w:p w14:paraId="68F69E3F" w14:textId="6EFB9C2C" w:rsidR="00EC2E38" w:rsidRDefault="00EC2E38" w:rsidP="00DA7657">
      <w:pPr>
        <w:pStyle w:val="NoteToTenderers-ASDEFCON"/>
      </w:pPr>
      <w:r w:rsidRPr="0066273A">
        <w:t xml:space="preserve">Note to tenderers:  </w:t>
      </w:r>
      <w:r>
        <w:t>Annex B</w:t>
      </w:r>
      <w:r w:rsidRPr="0066273A">
        <w:t xml:space="preserve"> will consist of an amalgamation of the price </w:t>
      </w:r>
      <w:r w:rsidR="00711011">
        <w:t>data submitted in response to</w:t>
      </w:r>
      <w:r w:rsidRPr="0066273A">
        <w:t xml:space="preserve"> TDR D</w:t>
      </w:r>
      <w:r w:rsidR="00B87473">
        <w:t xml:space="preserve"> </w:t>
      </w:r>
      <w:r w:rsidR="00711011">
        <w:t>(</w:t>
      </w:r>
      <w:r w:rsidR="00B87473">
        <w:t xml:space="preserve">including </w:t>
      </w:r>
      <w:r w:rsidR="00711011">
        <w:t>applicable worksheets from the</w:t>
      </w:r>
      <w:r w:rsidR="00B87473">
        <w:t xml:space="preserve"> SPTPW</w:t>
      </w:r>
      <w:r w:rsidR="00711011">
        <w:t>)</w:t>
      </w:r>
      <w:r w:rsidRPr="0066273A">
        <w:t>, the successful tenderer’s response, and any negotiated adjustments.</w:t>
      </w:r>
    </w:p>
    <w:p w14:paraId="5821C721" w14:textId="70E9E06B" w:rsidR="00EC2E38" w:rsidRPr="00567D53" w:rsidRDefault="00CC6888" w:rsidP="00DA7657">
      <w:pPr>
        <w:pStyle w:val="COTCOCLV2-ASDEFCON"/>
      </w:pPr>
      <w:r w:rsidRPr="00567D53">
        <w:t>Introduction</w:t>
      </w:r>
    </w:p>
    <w:p w14:paraId="22E11A93" w14:textId="59960B37" w:rsidR="00EC2E38" w:rsidRPr="008A3CFC" w:rsidRDefault="00EC2E38" w:rsidP="004D29AD">
      <w:pPr>
        <w:pStyle w:val="COTCOCLV3-ASDEFCON"/>
      </w:pPr>
      <w:r w:rsidRPr="008A3CFC">
        <w:t>This</w:t>
      </w:r>
      <w:r w:rsidR="00280B4A">
        <w:t xml:space="preserve"> clause </w:t>
      </w:r>
      <w:r w:rsidR="00280B4A">
        <w:fldChar w:fldCharType="begin"/>
      </w:r>
      <w:r w:rsidR="00280B4A">
        <w:instrText xml:space="preserve"> REF _Ref79649171 \r \h </w:instrText>
      </w:r>
      <w:r w:rsidR="00280B4A">
        <w:fldChar w:fldCharType="separate"/>
      </w:r>
      <w:r w:rsidR="007B78E8">
        <w:t>3</w:t>
      </w:r>
      <w:r w:rsidR="00280B4A">
        <w:fldChar w:fldCharType="end"/>
      </w:r>
      <w:r w:rsidR="00280B4A">
        <w:t xml:space="preserve">, </w:t>
      </w:r>
      <w:r>
        <w:t>Annex B</w:t>
      </w:r>
      <w:r w:rsidR="00BF4830">
        <w:t xml:space="preserve"> and the</w:t>
      </w:r>
      <w:r w:rsidR="002B35D0">
        <w:t xml:space="preserve"> </w:t>
      </w:r>
      <w:r w:rsidR="00BF4830">
        <w:t>schedules to Annex B</w:t>
      </w:r>
      <w:r w:rsidR="00B1575D">
        <w:t>,</w:t>
      </w:r>
      <w:r>
        <w:t xml:space="preserve"> </w:t>
      </w:r>
      <w:r w:rsidRPr="008A3CFC">
        <w:t xml:space="preserve">describe the </w:t>
      </w:r>
      <w:r>
        <w:t xml:space="preserve">amounts </w:t>
      </w:r>
      <w:r w:rsidRPr="008A3CFC">
        <w:t xml:space="preserve">payable </w:t>
      </w:r>
      <w:r>
        <w:t xml:space="preserve">by the Commonwealth </w:t>
      </w:r>
      <w:r w:rsidRPr="008A3CFC">
        <w:t xml:space="preserve">to the Contractor </w:t>
      </w:r>
      <w:r>
        <w:t xml:space="preserve">for </w:t>
      </w:r>
      <w:r w:rsidRPr="008A3CFC">
        <w:t xml:space="preserve">the provision of </w:t>
      </w:r>
      <w:r>
        <w:t xml:space="preserve">Recurring </w:t>
      </w:r>
      <w:r w:rsidRPr="008A3CFC">
        <w:t xml:space="preserve">Services </w:t>
      </w:r>
      <w:r>
        <w:t xml:space="preserve">in accordance with the </w:t>
      </w:r>
      <w:r w:rsidRPr="008A3CFC">
        <w:t>Contract.</w:t>
      </w:r>
    </w:p>
    <w:p w14:paraId="1C56ABDD" w14:textId="77777777" w:rsidR="00EC2E38" w:rsidRDefault="00EC2E38" w:rsidP="004D29AD">
      <w:pPr>
        <w:pStyle w:val="COTCOCLV3-ASDEFCON"/>
      </w:pPr>
      <w:bookmarkStart w:id="67" w:name="_Ref532795437"/>
      <w:bookmarkStart w:id="68" w:name="_Ref289724839"/>
      <w:r>
        <w:t>The Recurring Services Fee is the sum of:</w:t>
      </w:r>
      <w:bookmarkEnd w:id="67"/>
    </w:p>
    <w:p w14:paraId="440BF7E1" w14:textId="64CB8C5B" w:rsidR="00EC2E38" w:rsidRDefault="00EC2E38" w:rsidP="00DA7657">
      <w:pPr>
        <w:pStyle w:val="COTCOCLV4-ASDEFCON"/>
      </w:pPr>
      <w:r>
        <w:t xml:space="preserve">the Core Services Fee (determined in accordance with clause </w:t>
      </w:r>
      <w:r>
        <w:fldChar w:fldCharType="begin"/>
      </w:r>
      <w:r>
        <w:instrText xml:space="preserve"> REF _Ref293568069 \r \h </w:instrText>
      </w:r>
      <w:r>
        <w:fldChar w:fldCharType="separate"/>
      </w:r>
      <w:r w:rsidR="007B78E8">
        <w:t>3.2</w:t>
      </w:r>
      <w:r>
        <w:fldChar w:fldCharType="end"/>
      </w:r>
      <w:r>
        <w:t>); and</w:t>
      </w:r>
    </w:p>
    <w:p w14:paraId="1A314E3A" w14:textId="441216CF" w:rsidR="00EC2E38" w:rsidRDefault="00EC2E38" w:rsidP="004D29AD">
      <w:pPr>
        <w:pStyle w:val="COTCOCLV4-ASDEFCON"/>
      </w:pPr>
      <w:r>
        <w:t xml:space="preserve">the Excluded Services Fee (determined in accordance with clause </w:t>
      </w:r>
      <w:r w:rsidR="006C394C">
        <w:fldChar w:fldCharType="begin"/>
      </w:r>
      <w:r w:rsidR="006C394C">
        <w:instrText xml:space="preserve"> REF _Ref79994096 \r \h </w:instrText>
      </w:r>
      <w:r w:rsidR="006C394C">
        <w:fldChar w:fldCharType="separate"/>
      </w:r>
      <w:r w:rsidR="007B78E8">
        <w:t>3.</w:t>
      </w:r>
      <w:r w:rsidR="007B78E8">
        <w:t>3</w:t>
      </w:r>
      <w:r w:rsidR="006C394C">
        <w:fldChar w:fldCharType="end"/>
      </w:r>
      <w:r>
        <w:t>).</w:t>
      </w:r>
      <w:bookmarkEnd w:id="68"/>
    </w:p>
    <w:p w14:paraId="7092D897" w14:textId="77777777" w:rsidR="00EC2E38" w:rsidRPr="00B314DA" w:rsidRDefault="00EC2E38" w:rsidP="00DA7657">
      <w:pPr>
        <w:pStyle w:val="COTCOCLV2-ASDEFCON"/>
      </w:pPr>
      <w:bookmarkStart w:id="69" w:name="_Ref292139460"/>
      <w:bookmarkStart w:id="70" w:name="_Ref293568069"/>
      <w:bookmarkStart w:id="71" w:name="_Ref289680394"/>
      <w:r>
        <w:t>Core</w:t>
      </w:r>
      <w:r w:rsidRPr="00B314DA">
        <w:t xml:space="preserve"> Services Fee</w:t>
      </w:r>
      <w:bookmarkEnd w:id="69"/>
      <w:bookmarkEnd w:id="70"/>
    </w:p>
    <w:p w14:paraId="4387770E" w14:textId="6008A321" w:rsidR="003A34C1" w:rsidRPr="002A29EA" w:rsidRDefault="003A34C1" w:rsidP="00DA7657">
      <w:pPr>
        <w:pStyle w:val="NoteToDrafters-ASDEFCON"/>
      </w:pPr>
      <w:r>
        <w:t xml:space="preserve">Note to drafters:  </w:t>
      </w:r>
      <w:r w:rsidRPr="002A29EA">
        <w:t xml:space="preserve">Prior to </w:t>
      </w:r>
      <w:r w:rsidR="000479FC">
        <w:t xml:space="preserve">the </w:t>
      </w:r>
      <w:r w:rsidR="000479FC" w:rsidRPr="002A29EA">
        <w:t xml:space="preserve">release </w:t>
      </w:r>
      <w:r w:rsidR="000479FC">
        <w:t xml:space="preserve">of the </w:t>
      </w:r>
      <w:r w:rsidRPr="002A29EA">
        <w:t xml:space="preserve">RFT drafters </w:t>
      </w:r>
      <w:r>
        <w:t>need to</w:t>
      </w:r>
      <w:r w:rsidRPr="002A29EA">
        <w:t xml:space="preserve"> </w:t>
      </w:r>
      <w:r w:rsidR="000479FC">
        <w:t>prepare</w:t>
      </w:r>
      <w:r>
        <w:t xml:space="preserve"> </w:t>
      </w:r>
      <w:r w:rsidR="000479FC">
        <w:t xml:space="preserve">high-level </w:t>
      </w:r>
      <w:r>
        <w:t xml:space="preserve">Contract Work Breakdown Structure (CWBS) details and ‘Core Services’ worksheets in the </w:t>
      </w:r>
      <w:r w:rsidR="000A2B2F">
        <w:t>SPTPW</w:t>
      </w:r>
      <w:r w:rsidRPr="002A29EA">
        <w:t>.</w:t>
      </w:r>
      <w:r>
        <w:t xml:space="preserve">  Refer to TDR D-3 for details.</w:t>
      </w:r>
    </w:p>
    <w:p w14:paraId="3EEF2A41" w14:textId="35E27D8B" w:rsidR="003A34C1" w:rsidRDefault="003A34C1" w:rsidP="00DA7657">
      <w:pPr>
        <w:pStyle w:val="NoteToTenderers-ASDEFCON"/>
      </w:pPr>
      <w:r w:rsidRPr="0066273A">
        <w:t xml:space="preserve">Note to tenderers:  </w:t>
      </w:r>
      <w:r w:rsidR="00A574BE">
        <w:t xml:space="preserve">In relation to the Core Services, </w:t>
      </w:r>
      <w:r>
        <w:t xml:space="preserve">Annex B, including the schedules for Core Services, </w:t>
      </w:r>
      <w:r w:rsidRPr="0066273A">
        <w:t xml:space="preserve">will consist of an amalgamation of the </w:t>
      </w:r>
      <w:r w:rsidR="000A2B2F">
        <w:t>SPTPW</w:t>
      </w:r>
      <w:r>
        <w:t xml:space="preserve"> ‘Core Services’ worksheets for </w:t>
      </w:r>
      <w:r w:rsidRPr="0066273A">
        <w:t>the successful tenderer’s response</w:t>
      </w:r>
      <w:r w:rsidRPr="00E4765A">
        <w:t xml:space="preserve"> </w:t>
      </w:r>
      <w:r>
        <w:t xml:space="preserve">to </w:t>
      </w:r>
      <w:r w:rsidRPr="0066273A">
        <w:t xml:space="preserve">TDR </w:t>
      </w:r>
      <w:r>
        <w:t>D-3</w:t>
      </w:r>
      <w:r w:rsidRPr="0066273A">
        <w:t>, and any negotiated adjustments.</w:t>
      </w:r>
    </w:p>
    <w:p w14:paraId="364CD8C6" w14:textId="00C4305B" w:rsidR="00582745" w:rsidRDefault="003A34C1" w:rsidP="00582745">
      <w:pPr>
        <w:pStyle w:val="COTCOCLV3-ASDEFCON"/>
      </w:pPr>
      <w:r>
        <w:t xml:space="preserve">The </w:t>
      </w:r>
      <w:r w:rsidR="00582745">
        <w:t>Core Services schedules</w:t>
      </w:r>
      <w:r>
        <w:t>,</w:t>
      </w:r>
      <w:r w:rsidR="00582745">
        <w:t xml:space="preserve"> at Annex B to this Attachment</w:t>
      </w:r>
      <w:r>
        <w:t>,</w:t>
      </w:r>
      <w:r w:rsidRPr="003A34C1">
        <w:t xml:space="preserve"> </w:t>
      </w:r>
      <w:r>
        <w:t>set out the Core Services Fees for the Contract</w:t>
      </w:r>
      <w:r w:rsidR="00582745">
        <w:t>.</w:t>
      </w:r>
    </w:p>
    <w:p w14:paraId="120BDF3B" w14:textId="278E2768" w:rsidR="00EF13FD" w:rsidRDefault="00EC2E38">
      <w:pPr>
        <w:pStyle w:val="COTCOCLV3-ASDEFCON"/>
      </w:pPr>
      <w:r>
        <w:t>The Commonwealth shall</w:t>
      </w:r>
      <w:r w:rsidR="003A34C1" w:rsidRPr="003A34C1">
        <w:t xml:space="preserve"> </w:t>
      </w:r>
      <w:r w:rsidR="003A34C1">
        <w:t>pay to the Contractor</w:t>
      </w:r>
      <w:r>
        <w:t>, for the provision of the Core Services,</w:t>
      </w:r>
      <w:r w:rsidR="003A34C1">
        <w:t xml:space="preserve"> the Core Services Fees comprising</w:t>
      </w:r>
      <w:r>
        <w:t>:</w:t>
      </w:r>
    </w:p>
    <w:p w14:paraId="33823F07" w14:textId="138A826C" w:rsidR="00EC2E38" w:rsidRDefault="00E55E3B" w:rsidP="002B35D0">
      <w:pPr>
        <w:pStyle w:val="COTCOCLV4-ASDEFCON"/>
      </w:pPr>
      <w:r>
        <w:t>a</w:t>
      </w:r>
      <w:r w:rsidR="00CC6888">
        <w:t xml:space="preserve"> </w:t>
      </w:r>
      <w:r w:rsidR="00EC2E38">
        <w:t xml:space="preserve">Base Fee, </w:t>
      </w:r>
      <w:r w:rsidR="00D6668D">
        <w:t xml:space="preserve">paid </w:t>
      </w:r>
      <w:r w:rsidR="00EC2E38">
        <w:t>monthly in arrears; and</w:t>
      </w:r>
    </w:p>
    <w:p w14:paraId="26B8C184" w14:textId="6B415614" w:rsidR="00EC2E38" w:rsidRDefault="00EC2E38" w:rsidP="002B35D0">
      <w:pPr>
        <w:pStyle w:val="COTCOCLV4-ASDEFCON"/>
      </w:pPr>
      <w:r>
        <w:t>a Performance Payment</w:t>
      </w:r>
      <w:r w:rsidR="00A1088D">
        <w:t>,</w:t>
      </w:r>
      <w:r w:rsidR="004754C0">
        <w:t xml:space="preserve"> paid monthly in arrears</w:t>
      </w:r>
      <w:r w:rsidR="00B10088">
        <w:t xml:space="preserve">, which may be </w:t>
      </w:r>
      <w:r w:rsidR="004754C0">
        <w:t xml:space="preserve">adjusted </w:t>
      </w:r>
      <w:r w:rsidR="0054158B">
        <w:t>following</w:t>
      </w:r>
      <w:r w:rsidR="004754C0">
        <w:t xml:space="preserve"> </w:t>
      </w:r>
      <w:r w:rsidR="00D6668D">
        <w:t xml:space="preserve">each </w:t>
      </w:r>
      <w:r>
        <w:t xml:space="preserve">Review Period as determined in accordance with </w:t>
      </w:r>
      <w:r w:rsidRPr="00F00110">
        <w:t>Annex C</w:t>
      </w:r>
      <w:r>
        <w:t>.</w:t>
      </w:r>
    </w:p>
    <w:p w14:paraId="0699751A" w14:textId="7C1DBD63" w:rsidR="00EC2E38" w:rsidRPr="00567D53" w:rsidRDefault="00EC2E38" w:rsidP="00DA7657">
      <w:pPr>
        <w:pStyle w:val="COTCOCLV2-ASDEFCON"/>
      </w:pPr>
      <w:bookmarkStart w:id="72" w:name="_Ref289801233"/>
      <w:bookmarkStart w:id="73" w:name="_Ref371942294"/>
      <w:bookmarkStart w:id="74" w:name="_Ref79994096"/>
      <w:r w:rsidRPr="00B314DA">
        <w:t>Excluded</w:t>
      </w:r>
      <w:r>
        <w:t xml:space="preserve"> </w:t>
      </w:r>
      <w:bookmarkEnd w:id="71"/>
      <w:bookmarkEnd w:id="72"/>
      <w:r>
        <w:t>Services Fee</w:t>
      </w:r>
      <w:bookmarkEnd w:id="73"/>
      <w:bookmarkEnd w:id="74"/>
    </w:p>
    <w:p w14:paraId="482E1BCB" w14:textId="2532FB00" w:rsidR="004D520F" w:rsidRDefault="004D520F" w:rsidP="00DA7657">
      <w:pPr>
        <w:pStyle w:val="NoteToDrafters-ASDEFCON"/>
      </w:pPr>
      <w:bookmarkStart w:id="75" w:name="_Ref289682854"/>
      <w:r>
        <w:t>Note to drafters:</w:t>
      </w:r>
      <w:r w:rsidR="005A3979">
        <w:t xml:space="preserve"> </w:t>
      </w:r>
      <w:r>
        <w:t xml:space="preserve"> Excluded Services Fees apply to costs that are ‘passed through’ to the Commonwealth.  Increments in the Excluded Services Fee may </w:t>
      </w:r>
      <w:r w:rsidR="00A129ED">
        <w:t>reflect stepped increase</w:t>
      </w:r>
      <w:r w:rsidR="00A9136B">
        <w:t>s</w:t>
      </w:r>
      <w:r w:rsidR="00A129ED">
        <w:t xml:space="preserve"> in the</w:t>
      </w:r>
      <w:r w:rsidR="00A9136B">
        <w:t>se</w:t>
      </w:r>
      <w:r w:rsidR="00A129ED">
        <w:t xml:space="preserve"> costs</w:t>
      </w:r>
      <w:r w:rsidR="00D12453">
        <w:t xml:space="preserve"> (eg, following occupation of GFF at a new site)</w:t>
      </w:r>
      <w:r>
        <w:t>.  If not applicable to the draft Contract, the following clauses</w:t>
      </w:r>
      <w:r w:rsidR="00174500">
        <w:t xml:space="preserve"> </w:t>
      </w:r>
      <w:r w:rsidR="00962B50">
        <w:t>should</w:t>
      </w:r>
      <w:r w:rsidR="00174500">
        <w:t xml:space="preserve"> be</w:t>
      </w:r>
      <w:r>
        <w:t xml:space="preserve"> replaced with ‘Not used’.</w:t>
      </w:r>
      <w:r w:rsidR="00A9136B" w:rsidRPr="00A9136B">
        <w:t xml:space="preserve"> </w:t>
      </w:r>
      <w:r w:rsidR="00A9136B">
        <w:t xml:space="preserve"> If applicable,</w:t>
      </w:r>
      <w:r w:rsidR="00A9136B" w:rsidRPr="002A29EA">
        <w:t xml:space="preserve"> </w:t>
      </w:r>
      <w:r w:rsidR="00A9136B">
        <w:t xml:space="preserve">then </w:t>
      </w:r>
      <w:r w:rsidR="00A9136B" w:rsidRPr="002A29EA">
        <w:t xml:space="preserve">drafters </w:t>
      </w:r>
      <w:r w:rsidR="00A9136B">
        <w:t xml:space="preserve">should prepare the ‘Excluded Services’ worksheets in the </w:t>
      </w:r>
      <w:r w:rsidR="000A2B2F">
        <w:t>SPTPW</w:t>
      </w:r>
      <w:r w:rsidR="00A9136B" w:rsidRPr="002A29EA">
        <w:t>.</w:t>
      </w:r>
      <w:r w:rsidR="00A9136B">
        <w:t xml:space="preserve">  Refer to TDR D-3 for details</w:t>
      </w:r>
      <w:r w:rsidR="00962B50">
        <w:t>.</w:t>
      </w:r>
    </w:p>
    <w:p w14:paraId="0605DD52" w14:textId="057C032B" w:rsidR="00BC0759" w:rsidRDefault="00BC0759" w:rsidP="00DA7657">
      <w:pPr>
        <w:pStyle w:val="NoteToTenderers-ASDEFCON"/>
      </w:pPr>
      <w:r w:rsidRPr="0066273A">
        <w:t xml:space="preserve">Note to tenderers:  </w:t>
      </w:r>
      <w:r w:rsidR="00A574BE">
        <w:t xml:space="preserve">In relation to the Excluded Services </w:t>
      </w:r>
      <w:r>
        <w:t>Annex B, including the schedule for Excluded Service</w:t>
      </w:r>
      <w:r w:rsidR="00831F9D">
        <w:t xml:space="preserve"> Fee</w:t>
      </w:r>
      <w:r>
        <w:t xml:space="preserve">s, </w:t>
      </w:r>
      <w:r w:rsidRPr="0066273A">
        <w:t xml:space="preserve">will consist of an amalgamation of the </w:t>
      </w:r>
      <w:r w:rsidR="000A2B2F">
        <w:t>SPTPW</w:t>
      </w:r>
      <w:r>
        <w:t xml:space="preserve"> ‘Excluded Services’ worksheets for </w:t>
      </w:r>
      <w:r w:rsidRPr="0066273A">
        <w:t>the successful tenderer’s response</w:t>
      </w:r>
      <w:r w:rsidRPr="00E4765A">
        <w:t xml:space="preserve"> </w:t>
      </w:r>
      <w:r>
        <w:t xml:space="preserve">to </w:t>
      </w:r>
      <w:r w:rsidRPr="0066273A">
        <w:t xml:space="preserve">TDR </w:t>
      </w:r>
      <w:r>
        <w:t>D-3</w:t>
      </w:r>
      <w:r w:rsidRPr="0066273A">
        <w:t>, and any negotiated adjustments.</w:t>
      </w:r>
    </w:p>
    <w:p w14:paraId="2A084E0F" w14:textId="1DA7D5ED" w:rsidR="00BC0759" w:rsidRDefault="00BC0759" w:rsidP="00BC0759">
      <w:pPr>
        <w:pStyle w:val="COTCOCLV3-ASDEFCON"/>
      </w:pPr>
      <w:r>
        <w:t xml:space="preserve">The Excluded Services </w:t>
      </w:r>
      <w:r w:rsidR="00831F9D">
        <w:t>schedule</w:t>
      </w:r>
      <w:r>
        <w:t>, at Annex B to this Attachment,</w:t>
      </w:r>
      <w:r w:rsidRPr="003A34C1">
        <w:t xml:space="preserve"> </w:t>
      </w:r>
      <w:r>
        <w:t>set</w:t>
      </w:r>
      <w:r w:rsidR="00831F9D">
        <w:t>s</w:t>
      </w:r>
      <w:r>
        <w:t xml:space="preserve"> out the Excluded Services Fees for the Contract.</w:t>
      </w:r>
    </w:p>
    <w:p w14:paraId="4003FA97" w14:textId="26BE2133" w:rsidR="00EF13FD" w:rsidRDefault="00EC2E38" w:rsidP="00A9136B">
      <w:pPr>
        <w:pStyle w:val="COTCOCLV3-ASDEFCON"/>
      </w:pPr>
      <w:r>
        <w:t xml:space="preserve">The Commonwealth shall pay to the Contractor </w:t>
      </w:r>
      <w:r w:rsidRPr="00033FC0">
        <w:t xml:space="preserve">the amounts specified in </w:t>
      </w:r>
      <w:r w:rsidR="00F21946">
        <w:t xml:space="preserve">the Excluded Services schedule(s) </w:t>
      </w:r>
      <w:r w:rsidRPr="00033FC0">
        <w:t>monthly in arrears.</w:t>
      </w:r>
    </w:p>
    <w:p w14:paraId="27555192" w14:textId="2025A5BD" w:rsidR="00EC2E38" w:rsidRPr="0066273A" w:rsidRDefault="00A2458D" w:rsidP="00DA7657">
      <w:pPr>
        <w:pStyle w:val="COTCOCLV1-ASDEFCON"/>
      </w:pPr>
      <w:bookmarkStart w:id="76" w:name="_Toc97811149"/>
      <w:bookmarkEnd w:id="75"/>
      <w:r w:rsidRPr="0066273A">
        <w:t>Performance Payments</w:t>
      </w:r>
      <w:r>
        <w:t xml:space="preserve"> </w:t>
      </w:r>
      <w:r w:rsidR="00EC2E38">
        <w:t>(CORE)</w:t>
      </w:r>
      <w:bookmarkEnd w:id="76"/>
    </w:p>
    <w:p w14:paraId="79FFA13C" w14:textId="34F2E4F9" w:rsidR="00BF4830" w:rsidRDefault="00F265E9" w:rsidP="00DA7657">
      <w:pPr>
        <w:pStyle w:val="NoteToDrafters-ASDEFCON"/>
      </w:pPr>
      <w:r w:rsidRPr="00F00110">
        <w:t xml:space="preserve">Note to drafters:  </w:t>
      </w:r>
      <w:r w:rsidR="00BF4830">
        <w:t xml:space="preserve">Ensure that the Performance Payment requirements in Annex C are consistent with </w:t>
      </w:r>
      <w:r w:rsidR="00001E91">
        <w:t xml:space="preserve">the Performance Assessment requirements in </w:t>
      </w:r>
      <w:r w:rsidR="00BF4830">
        <w:t>Attachment P</w:t>
      </w:r>
      <w:r w:rsidR="00001E91">
        <w:t xml:space="preserve"> and that, together, these are consistent with the level of Core Services available (including during any Ramp Up stages) for the relevant period, as identified through Annex B.</w:t>
      </w:r>
    </w:p>
    <w:p w14:paraId="0F270E1B" w14:textId="77777777" w:rsidR="00EC2E38" w:rsidRPr="0066273A" w:rsidRDefault="00EC2E38" w:rsidP="00DA7657">
      <w:pPr>
        <w:pStyle w:val="NoteToTenderers-ASDEFCON"/>
      </w:pPr>
      <w:r w:rsidRPr="0066273A">
        <w:t>Note to tenderers:</w:t>
      </w:r>
      <w:r>
        <w:t xml:space="preserve">  Annex C will consist of an </w:t>
      </w:r>
      <w:r w:rsidRPr="0066273A">
        <w:t>amalgamation of the price schedules in TDR D, the successful tenderer’s response, and any negotiated adjustments</w:t>
      </w:r>
      <w:r>
        <w:t>.</w:t>
      </w:r>
    </w:p>
    <w:p w14:paraId="6854E0E5" w14:textId="4F5D4E74" w:rsidR="00EC2E38" w:rsidRPr="00F76F6D" w:rsidRDefault="00F00110" w:rsidP="00DA7657">
      <w:pPr>
        <w:pStyle w:val="COTCOCLV2-ASDEFCON"/>
      </w:pPr>
      <w:r>
        <w:t>Calculation of Performance Payments</w:t>
      </w:r>
    </w:p>
    <w:p w14:paraId="5E1915A4" w14:textId="3F73D9EE" w:rsidR="00EC2E38" w:rsidRDefault="00EC2E38" w:rsidP="00DA7657">
      <w:pPr>
        <w:pStyle w:val="COTCOCLV3-ASDEFCON"/>
      </w:pPr>
      <w:r w:rsidRPr="00DA7657">
        <w:t>Annex C describes the basis on which Performance Payments are calculated and payable by the Commonwealth to the Contractor in accordance with the Contract.</w:t>
      </w:r>
    </w:p>
    <w:p w14:paraId="2C84E8F6" w14:textId="6102A1E0" w:rsidR="00EC2E38" w:rsidRPr="0066273A" w:rsidRDefault="00A2458D" w:rsidP="00F10EDE">
      <w:pPr>
        <w:pStyle w:val="COTCOCLV1-ASDEFCON"/>
      </w:pPr>
      <w:bookmarkStart w:id="77" w:name="_Toc79580089"/>
      <w:bookmarkStart w:id="78" w:name="_Toc79646459"/>
      <w:bookmarkStart w:id="79" w:name="_Toc79646540"/>
      <w:bookmarkStart w:id="80" w:name="_Ref79996348"/>
      <w:bookmarkStart w:id="81" w:name="_Ref79996355"/>
      <w:bookmarkStart w:id="82" w:name="_Ref79996835"/>
      <w:bookmarkStart w:id="83" w:name="_Ref530821824"/>
      <w:bookmarkStart w:id="84" w:name="_Toc3028320"/>
      <w:bookmarkStart w:id="85" w:name="_Toc97811150"/>
      <w:bookmarkEnd w:id="77"/>
      <w:bookmarkEnd w:id="78"/>
      <w:bookmarkEnd w:id="79"/>
      <w:r w:rsidRPr="0066273A">
        <w:t xml:space="preserve">Task-Priced Services </w:t>
      </w:r>
      <w:r w:rsidR="00EC2E38" w:rsidRPr="0066273A">
        <w:t>(CORE)</w:t>
      </w:r>
      <w:bookmarkEnd w:id="80"/>
      <w:bookmarkEnd w:id="81"/>
      <w:bookmarkEnd w:id="82"/>
      <w:bookmarkEnd w:id="85"/>
    </w:p>
    <w:p w14:paraId="56C6278F" w14:textId="5BC4FA74" w:rsidR="001E18A7" w:rsidRPr="002A29EA" w:rsidRDefault="001E18A7" w:rsidP="00DA7657">
      <w:pPr>
        <w:pStyle w:val="NoteToDrafters-ASDEFCON"/>
      </w:pPr>
      <w:r>
        <w:t xml:space="preserve">Note to drafters:  </w:t>
      </w:r>
      <w:r w:rsidRPr="002A29EA">
        <w:t xml:space="preserve">Prior to RFT release drafters </w:t>
      </w:r>
      <w:r>
        <w:t>may list expected ‘Task-Priced Services’ in the ‘Task Priced’ worksheet in the SPTPW</w:t>
      </w:r>
      <w:r w:rsidRPr="002A29EA">
        <w:t>.</w:t>
      </w:r>
      <w:r>
        <w:t xml:space="preserve">  Refer to TDR D-4 for details.</w:t>
      </w:r>
    </w:p>
    <w:p w14:paraId="01EA02F5" w14:textId="76938D73" w:rsidR="00EC2E38" w:rsidRDefault="00EC2E38" w:rsidP="00DA7657">
      <w:pPr>
        <w:pStyle w:val="NoteToTenderers-ASDEFCON"/>
      </w:pPr>
      <w:r w:rsidRPr="0066273A">
        <w:t>Note to tenderers:</w:t>
      </w:r>
      <w:r>
        <w:t xml:space="preserve"> </w:t>
      </w:r>
      <w:r w:rsidRPr="0066273A">
        <w:t xml:space="preserve"> </w:t>
      </w:r>
      <w:r w:rsidR="00951CD6">
        <w:t xml:space="preserve">Annex </w:t>
      </w:r>
      <w:r w:rsidR="00451738">
        <w:t>D</w:t>
      </w:r>
      <w:r>
        <w:t xml:space="preserve"> will consist of an </w:t>
      </w:r>
      <w:r w:rsidRPr="0066273A">
        <w:t>amalgamation of the</w:t>
      </w:r>
      <w:r w:rsidR="00951CD6">
        <w:t xml:space="preserve"> </w:t>
      </w:r>
      <w:r w:rsidR="000A2B2F">
        <w:t>SPTPW</w:t>
      </w:r>
      <w:r w:rsidRPr="0066273A">
        <w:t xml:space="preserve"> </w:t>
      </w:r>
      <w:r w:rsidR="00951CD6">
        <w:t>‘Task P</w:t>
      </w:r>
      <w:r w:rsidRPr="0066273A">
        <w:t>rice</w:t>
      </w:r>
      <w:r w:rsidR="00951CD6">
        <w:t>d’</w:t>
      </w:r>
      <w:r w:rsidR="005C4B75">
        <w:t xml:space="preserve"> worksheet f</w:t>
      </w:r>
      <w:r w:rsidR="00DD2854">
        <w:t>r</w:t>
      </w:r>
      <w:r w:rsidR="005C4B75">
        <w:t>om</w:t>
      </w:r>
      <w:r w:rsidRPr="0066273A">
        <w:t xml:space="preserve"> the successful tenderer’s response</w:t>
      </w:r>
      <w:r w:rsidR="00DD2854">
        <w:t xml:space="preserve"> to TDR D-4</w:t>
      </w:r>
      <w:r w:rsidRPr="0066273A">
        <w:t>, and any negotiated adjustments</w:t>
      </w:r>
      <w:r>
        <w:t>.</w:t>
      </w:r>
    </w:p>
    <w:p w14:paraId="09801F77" w14:textId="5F818463" w:rsidR="00EC2E38" w:rsidRPr="00567D53" w:rsidRDefault="00D7555D" w:rsidP="00DA7657">
      <w:pPr>
        <w:pStyle w:val="COTCOCLV2-ASDEFCON"/>
      </w:pPr>
      <w:r w:rsidRPr="00567D53">
        <w:t>Introduction</w:t>
      </w:r>
    </w:p>
    <w:p w14:paraId="1343BD07" w14:textId="4E43989E" w:rsidR="00EC2E38" w:rsidRPr="008A3CFC" w:rsidRDefault="00D3793D" w:rsidP="00F54381">
      <w:pPr>
        <w:pStyle w:val="COTCOCLV3-ASDEFCON"/>
      </w:pPr>
      <w:r>
        <w:t xml:space="preserve">The </w:t>
      </w:r>
      <w:r w:rsidR="00EC2E38">
        <w:t xml:space="preserve">amounts </w:t>
      </w:r>
      <w:r w:rsidR="00EC2E38" w:rsidRPr="008A3CFC">
        <w:t>payable</w:t>
      </w:r>
      <w:r w:rsidR="00EC2E38">
        <w:t xml:space="preserve"> by the Commonwealth</w:t>
      </w:r>
      <w:r w:rsidR="00EC2E38" w:rsidRPr="008A3CFC">
        <w:t xml:space="preserve"> to the Contractor </w:t>
      </w:r>
      <w:r w:rsidR="00EC2E38">
        <w:t xml:space="preserve">for </w:t>
      </w:r>
      <w:r w:rsidR="00EC2E38" w:rsidRPr="008A3CFC">
        <w:t xml:space="preserve">the provision of </w:t>
      </w:r>
      <w:r w:rsidR="00EC2E38">
        <w:t xml:space="preserve">Task-Priced </w:t>
      </w:r>
      <w:r w:rsidR="00EC2E38" w:rsidRPr="008A3CFC">
        <w:t>Service</w:t>
      </w:r>
      <w:r w:rsidR="00FC06A4">
        <w:t>s,</w:t>
      </w:r>
      <w:r w:rsidR="00EC2E38" w:rsidRPr="008A3CFC">
        <w:t xml:space="preserve"> </w:t>
      </w:r>
      <w:r w:rsidR="00EC2E38">
        <w:t xml:space="preserve">in accordance with the </w:t>
      </w:r>
      <w:r w:rsidR="00EC2E38" w:rsidRPr="008A3CFC">
        <w:t>Contract</w:t>
      </w:r>
      <w:r w:rsidR="00831F9D">
        <w:t xml:space="preserve">, are </w:t>
      </w:r>
      <w:r w:rsidR="00FC06A4">
        <w:t xml:space="preserve">detailed in the file: </w:t>
      </w:r>
      <w:r w:rsidR="00F92B0E">
        <w:fldChar w:fldCharType="begin">
          <w:ffData>
            <w:name w:val=""/>
            <w:enabled/>
            <w:calcOnExit w:val="0"/>
            <w:textInput>
              <w:default w:val="(…INSERT the file name for the &quot;Task-Priced Services worksheet&quot; from the SPTPW…)"/>
            </w:textInput>
          </w:ffData>
        </w:fldChar>
      </w:r>
      <w:r w:rsidR="00F92B0E">
        <w:instrText xml:space="preserve"> FORMTEXT </w:instrText>
      </w:r>
      <w:r w:rsidR="00F92B0E">
        <w:fldChar w:fldCharType="separate"/>
      </w:r>
      <w:r w:rsidR="00F92B0E">
        <w:rPr>
          <w:noProof/>
        </w:rPr>
        <w:t>(…INSERT the file name for the "Task-Priced Services worksheet" from the SPTPW…)</w:t>
      </w:r>
      <w:r w:rsidR="00F92B0E">
        <w:fldChar w:fldCharType="end"/>
      </w:r>
      <w:r w:rsidR="00FC06A4">
        <w:t>, and forms</w:t>
      </w:r>
      <w:r w:rsidR="00831F9D">
        <w:t xml:space="preserve"> Annex D to this Attachment</w:t>
      </w:r>
      <w:r w:rsidR="00EC2E38" w:rsidRPr="008A3CFC">
        <w:t>.</w:t>
      </w:r>
    </w:p>
    <w:p w14:paraId="28B760C5" w14:textId="610C4DB8" w:rsidR="00EC2E38" w:rsidRDefault="00D7555D" w:rsidP="00DA7657">
      <w:pPr>
        <w:pStyle w:val="COTCOCLV2-ASDEFCON"/>
      </w:pPr>
      <w:r>
        <w:t>Task-Priced Services</w:t>
      </w:r>
    </w:p>
    <w:p w14:paraId="77E7F22E" w14:textId="3381FD09" w:rsidR="00EF13FD" w:rsidRDefault="00F11472">
      <w:pPr>
        <w:pStyle w:val="COTCOCLV3-ASDEFCON"/>
      </w:pPr>
      <w:r>
        <w:t xml:space="preserve">The Commonwealth may request </w:t>
      </w:r>
      <w:r w:rsidR="00EC2E38">
        <w:t xml:space="preserve">Task-Priced Services </w:t>
      </w:r>
      <w:r>
        <w:t>by notice, in accordance with clause 3.14 of the COC</w:t>
      </w:r>
      <w:r w:rsidR="00EC2E38">
        <w:t>.</w:t>
      </w:r>
    </w:p>
    <w:p w14:paraId="0981FD9C" w14:textId="2500BE67" w:rsidR="00EC2E38" w:rsidRDefault="00EC2E38" w:rsidP="00F54381">
      <w:pPr>
        <w:pStyle w:val="COTCOCLV3-ASDEFCON"/>
      </w:pPr>
      <w:r>
        <w:t>For each Task-Priced Service t</w:t>
      </w:r>
      <w:r w:rsidRPr="0093080C">
        <w:t xml:space="preserve">he Commonwealth shall pay to the Contractor the price for </w:t>
      </w:r>
      <w:r>
        <w:t xml:space="preserve">the </w:t>
      </w:r>
      <w:r w:rsidRPr="0093080C">
        <w:t>Task</w:t>
      </w:r>
      <w:r>
        <w:t>-</w:t>
      </w:r>
      <w:r w:rsidRPr="0093080C">
        <w:t>Priced Service</w:t>
      </w:r>
      <w:r w:rsidR="00831F9D">
        <w:t>,</w:t>
      </w:r>
      <w:r>
        <w:t xml:space="preserve"> as specified in the </w:t>
      </w:r>
      <w:r w:rsidR="00D7555D">
        <w:t xml:space="preserve">Annex </w:t>
      </w:r>
      <w:r w:rsidR="00451738">
        <w:t>D</w:t>
      </w:r>
      <w:r w:rsidR="00831F9D">
        <w:t>,</w:t>
      </w:r>
      <w:r w:rsidR="00D7555D">
        <w:t xml:space="preserve"> </w:t>
      </w:r>
      <w:r>
        <w:t xml:space="preserve">applicable to that month in which the Task-Priced Service was Accepted in arrears </w:t>
      </w:r>
      <w:r w:rsidRPr="0093080C">
        <w:t>at the end of that month or in such other manner as may be agreed in writing by the parties in respect of that Task</w:t>
      </w:r>
      <w:r>
        <w:t>-</w:t>
      </w:r>
      <w:r w:rsidRPr="0093080C">
        <w:t>Priced Service.</w:t>
      </w:r>
    </w:p>
    <w:p w14:paraId="7C47084A" w14:textId="4101E517" w:rsidR="00EC2E38" w:rsidRPr="0066273A" w:rsidRDefault="00A2458D" w:rsidP="00DA7657">
      <w:pPr>
        <w:pStyle w:val="COTCOCLV1-ASDEFCON"/>
      </w:pPr>
      <w:bookmarkStart w:id="86" w:name="_Toc79580091"/>
      <w:bookmarkStart w:id="87" w:name="_Toc79646461"/>
      <w:bookmarkStart w:id="88" w:name="_Toc79646542"/>
      <w:bookmarkStart w:id="89" w:name="_Toc83021045"/>
      <w:bookmarkStart w:id="90" w:name="_Toc83108970"/>
      <w:bookmarkStart w:id="91" w:name="_Toc83109008"/>
      <w:bookmarkStart w:id="92" w:name="_Toc83109029"/>
      <w:bookmarkStart w:id="93" w:name="_Toc83109050"/>
      <w:bookmarkStart w:id="94" w:name="_Toc83109071"/>
      <w:bookmarkStart w:id="95" w:name="_Toc97811151"/>
      <w:bookmarkEnd w:id="86"/>
      <w:bookmarkEnd w:id="87"/>
      <w:bookmarkEnd w:id="88"/>
      <w:bookmarkEnd w:id="89"/>
      <w:bookmarkEnd w:id="90"/>
      <w:bookmarkEnd w:id="91"/>
      <w:bookmarkEnd w:id="92"/>
      <w:bookmarkEnd w:id="93"/>
      <w:bookmarkEnd w:id="94"/>
      <w:r w:rsidRPr="0066273A">
        <w:t>S</w:t>
      </w:r>
      <w:r>
        <w:t>&amp;Q</w:t>
      </w:r>
      <w:r w:rsidRPr="0066273A">
        <w:t xml:space="preserve"> Services </w:t>
      </w:r>
      <w:r w:rsidR="00EC2E38" w:rsidRPr="0066273A">
        <w:t>(CORE)</w:t>
      </w:r>
      <w:bookmarkEnd w:id="95"/>
    </w:p>
    <w:p w14:paraId="24B051E1" w14:textId="3752BDAD" w:rsidR="001E18A7" w:rsidRDefault="001E18A7" w:rsidP="00DA7657">
      <w:pPr>
        <w:pStyle w:val="NoteToDrafters-ASDEFCON"/>
      </w:pPr>
      <w:r>
        <w:t xml:space="preserve">Note to drafters:  </w:t>
      </w:r>
      <w:r w:rsidRPr="002A29EA">
        <w:t xml:space="preserve">Prior to RFT release drafters </w:t>
      </w:r>
      <w:r>
        <w:t xml:space="preserve">should </w:t>
      </w:r>
      <w:r w:rsidR="009F0D34">
        <w:t>refer to the</w:t>
      </w:r>
      <w:r>
        <w:t xml:space="preserve"> ‘S&amp;Q Services’ workshee</w:t>
      </w:r>
      <w:r w:rsidR="009F0D34">
        <w:t>t</w:t>
      </w:r>
      <w:r>
        <w:t xml:space="preserve"> in the SPTPW</w:t>
      </w:r>
      <w:r w:rsidR="009F0D34">
        <w:t xml:space="preserve"> and review and revise the value thresholds for the application of mark-ups on subcontracts, materials</w:t>
      </w:r>
      <w:r w:rsidR="00451738">
        <w:t xml:space="preserve"> and other Allowable C</w:t>
      </w:r>
      <w:r w:rsidR="009F0D34">
        <w:t>osts, as applicable</w:t>
      </w:r>
      <w:r>
        <w:t xml:space="preserve">. </w:t>
      </w:r>
      <w:r w:rsidR="00B44639">
        <w:t xml:space="preserve"> </w:t>
      </w:r>
      <w:r>
        <w:t>Refer to TDR D-</w:t>
      </w:r>
      <w:r w:rsidR="007E1310">
        <w:t>5</w:t>
      </w:r>
      <w:r>
        <w:t xml:space="preserve"> for details.</w:t>
      </w:r>
    </w:p>
    <w:p w14:paraId="4C15F199" w14:textId="4A7A562A" w:rsidR="00EC2E38" w:rsidRDefault="00EC2E38" w:rsidP="00DA7657">
      <w:pPr>
        <w:pStyle w:val="NoteToTenderers-ASDEFCON"/>
      </w:pPr>
      <w:r w:rsidRPr="0066273A">
        <w:t xml:space="preserve">Note to tenderers:  </w:t>
      </w:r>
      <w:r>
        <w:t xml:space="preserve">Annex </w:t>
      </w:r>
      <w:r w:rsidR="00451738">
        <w:t>E</w:t>
      </w:r>
      <w:r>
        <w:t xml:space="preserve"> will consist of an </w:t>
      </w:r>
      <w:r w:rsidRPr="0066273A">
        <w:t xml:space="preserve">amalgamation of the </w:t>
      </w:r>
      <w:r w:rsidR="000A2B2F">
        <w:t>SPTPW</w:t>
      </w:r>
      <w:r w:rsidR="00D97503" w:rsidRPr="0066273A">
        <w:t xml:space="preserve"> </w:t>
      </w:r>
      <w:r w:rsidR="00D97503">
        <w:t xml:space="preserve">‘S&amp;Q Services’ worksheet </w:t>
      </w:r>
      <w:r w:rsidR="005C4B75">
        <w:t>from</w:t>
      </w:r>
      <w:r w:rsidRPr="0066273A">
        <w:t xml:space="preserve"> the successful tenderer’s response</w:t>
      </w:r>
      <w:r w:rsidR="005C4B75">
        <w:t xml:space="preserve"> to TDR D-5</w:t>
      </w:r>
      <w:r w:rsidRPr="0066273A">
        <w:t>, and any negotiated adjustments</w:t>
      </w:r>
      <w:r>
        <w:t>.</w:t>
      </w:r>
      <w:r w:rsidR="00C454D5">
        <w:t xml:space="preserve">  T</w:t>
      </w:r>
      <w:r w:rsidR="001A4B28">
        <w:t>he definition of ‘</w:t>
      </w:r>
      <w:r w:rsidR="00C454D5">
        <w:t>normal time</w:t>
      </w:r>
      <w:r w:rsidR="001A4B28">
        <w:t>’</w:t>
      </w:r>
      <w:r w:rsidR="00C454D5">
        <w:t xml:space="preserve"> will consist if</w:t>
      </w:r>
      <w:r w:rsidR="00C454D5" w:rsidRPr="0066273A">
        <w:t xml:space="preserve"> the successful tenderer’s response</w:t>
      </w:r>
      <w:r w:rsidR="00C454D5">
        <w:t xml:space="preserve"> to TDR D-5</w:t>
      </w:r>
      <w:r w:rsidR="00C454D5" w:rsidRPr="0066273A">
        <w:t xml:space="preserve"> and any negotiated adjustments</w:t>
      </w:r>
    </w:p>
    <w:p w14:paraId="00E25806" w14:textId="67936FD8" w:rsidR="00EC2E38" w:rsidRPr="00567D53" w:rsidRDefault="00701391" w:rsidP="00DA7657">
      <w:pPr>
        <w:pStyle w:val="COTCOCLV2-ASDEFCON"/>
      </w:pPr>
      <w:r>
        <w:t>S&amp;Q Rates</w:t>
      </w:r>
    </w:p>
    <w:p w14:paraId="5ABA4EBD" w14:textId="05E452FB" w:rsidR="00993189" w:rsidRDefault="00993189" w:rsidP="00D7555D">
      <w:pPr>
        <w:pStyle w:val="COTCOCLV3-ASDEFCON"/>
      </w:pPr>
      <w:r>
        <w:t xml:space="preserve">The </w:t>
      </w:r>
      <w:r w:rsidR="00EC2E38">
        <w:t xml:space="preserve">amounts </w:t>
      </w:r>
      <w:r w:rsidR="00EC2E38" w:rsidRPr="008A3CFC">
        <w:t>payable</w:t>
      </w:r>
      <w:r w:rsidR="00EC2E38">
        <w:t xml:space="preserve"> by the Commonwealth</w:t>
      </w:r>
      <w:r w:rsidR="00EC2E38" w:rsidRPr="008A3CFC">
        <w:t xml:space="preserve"> to the Contractor </w:t>
      </w:r>
      <w:r w:rsidR="00EC2E38">
        <w:t xml:space="preserve">for </w:t>
      </w:r>
      <w:r w:rsidR="00EC2E38" w:rsidRPr="008A3CFC">
        <w:t xml:space="preserve">the provision of </w:t>
      </w:r>
      <w:r w:rsidR="00EC2E38">
        <w:t xml:space="preserve">S&amp;Q </w:t>
      </w:r>
      <w:r w:rsidR="00EC2E38" w:rsidRPr="008A3CFC">
        <w:t>Services</w:t>
      </w:r>
      <w:r w:rsidR="00F626F9">
        <w:t>,</w:t>
      </w:r>
      <w:r w:rsidR="00EC2E38" w:rsidRPr="008A3CFC">
        <w:t xml:space="preserve"> </w:t>
      </w:r>
      <w:r w:rsidR="00EC2E38">
        <w:t xml:space="preserve">in accordance with the </w:t>
      </w:r>
      <w:r w:rsidR="00EC2E38" w:rsidRPr="008A3CFC">
        <w:t>Contract</w:t>
      </w:r>
      <w:r w:rsidR="00F626F9">
        <w:t>,</w:t>
      </w:r>
      <w:r w:rsidRPr="00993189">
        <w:t xml:space="preserve"> </w:t>
      </w:r>
      <w:r w:rsidR="00BA57EF">
        <w:t>shall be determined using</w:t>
      </w:r>
      <w:r w:rsidR="00F92B0E">
        <w:t xml:space="preserve"> the</w:t>
      </w:r>
      <w:r>
        <w:t>:</w:t>
      </w:r>
    </w:p>
    <w:p w14:paraId="61FAC90B" w14:textId="1DED610D" w:rsidR="00682DA0" w:rsidRDefault="00682DA0" w:rsidP="00F626F9">
      <w:pPr>
        <w:pStyle w:val="COTCOCLV4-ASDEFCON"/>
      </w:pPr>
      <w:r w:rsidRPr="00EB0ED9">
        <w:t xml:space="preserve">labour categories </w:t>
      </w:r>
      <w:r w:rsidR="00430478">
        <w:t>and</w:t>
      </w:r>
      <w:r w:rsidRPr="00EB0ED9">
        <w:t xml:space="preserve"> skill levels</w:t>
      </w:r>
      <w:r>
        <w:t xml:space="preserve"> </w:t>
      </w:r>
      <w:r w:rsidR="00430478">
        <w:t>for</w:t>
      </w:r>
      <w:r w:rsidRPr="00EB0ED9">
        <w:t xml:space="preserve"> </w:t>
      </w:r>
      <w:r>
        <w:t>labour rates; and</w:t>
      </w:r>
    </w:p>
    <w:p w14:paraId="1E52C8F8" w14:textId="79493E46" w:rsidR="000037F0" w:rsidRDefault="00682DA0" w:rsidP="00F626F9">
      <w:pPr>
        <w:pStyle w:val="COTCOCLV4-ASDEFCON"/>
      </w:pPr>
      <w:r>
        <w:t>mark</w:t>
      </w:r>
      <w:r w:rsidR="009F0D34">
        <w:t>-</w:t>
      </w:r>
      <w:r>
        <w:t>up</w:t>
      </w:r>
      <w:r w:rsidR="00F626F9">
        <w:t>s</w:t>
      </w:r>
      <w:r>
        <w:t xml:space="preserve"> on purchased materials, Subcontract costs and </w:t>
      </w:r>
      <w:r w:rsidRPr="00302D08">
        <w:t>other Allowable Costs</w:t>
      </w:r>
      <w:r w:rsidR="00F92B0E">
        <w:t>,</w:t>
      </w:r>
    </w:p>
    <w:p w14:paraId="2B39C4EF" w14:textId="0D022E7D" w:rsidR="00EC2E38" w:rsidRDefault="00745EC1" w:rsidP="00DA7657">
      <w:pPr>
        <w:pStyle w:val="COTCOCLV3NONUM-ASDEFCON"/>
      </w:pPr>
      <w:r>
        <w:t xml:space="preserve">as </w:t>
      </w:r>
      <w:r w:rsidR="000037F0">
        <w:t xml:space="preserve">detailed in the file: </w:t>
      </w:r>
      <w:r w:rsidR="00F92B0E">
        <w:fldChar w:fldCharType="begin">
          <w:ffData>
            <w:name w:val=""/>
            <w:enabled/>
            <w:calcOnExit w:val="0"/>
            <w:textInput>
              <w:default w:val="(…INSERT the file name for the &quot;S&amp;Q Services worksheet&quot; from the SPTPW…)"/>
            </w:textInput>
          </w:ffData>
        </w:fldChar>
      </w:r>
      <w:r w:rsidR="00F92B0E">
        <w:instrText xml:space="preserve"> FORMTEXT </w:instrText>
      </w:r>
      <w:r w:rsidR="00F92B0E">
        <w:fldChar w:fldCharType="separate"/>
      </w:r>
      <w:r w:rsidR="00F92B0E">
        <w:rPr>
          <w:noProof/>
        </w:rPr>
        <w:t>(…INSERT the file name for the "S&amp;Q Services worksheet" from the SPTPW…)</w:t>
      </w:r>
      <w:r w:rsidR="00F92B0E">
        <w:fldChar w:fldCharType="end"/>
      </w:r>
      <w:r w:rsidR="00F92B0E">
        <w:t>, which forms</w:t>
      </w:r>
      <w:r w:rsidR="00F92B0E" w:rsidRPr="00F92B0E">
        <w:t xml:space="preserve"> </w:t>
      </w:r>
      <w:r w:rsidR="00F92B0E">
        <w:t>Annex E to this Attachment.</w:t>
      </w:r>
    </w:p>
    <w:p w14:paraId="27BE2DE1" w14:textId="40AC76D5" w:rsidR="00430478" w:rsidRDefault="00430478" w:rsidP="00430478">
      <w:pPr>
        <w:pStyle w:val="COTCOCLV3-ASDEFCON"/>
      </w:pPr>
      <w:r>
        <w:t xml:space="preserve">For the purposes of </w:t>
      </w:r>
      <w:r w:rsidR="00920630">
        <w:t>determining whether to use “normal time” or ‘other time” labour rates:</w:t>
      </w:r>
    </w:p>
    <w:p w14:paraId="35391A39" w14:textId="4194BFF9" w:rsidR="00430478" w:rsidRDefault="00430478" w:rsidP="00C454D5">
      <w:pPr>
        <w:pStyle w:val="COTCOCLV4-ASDEFCON"/>
      </w:pPr>
      <w:r>
        <w:t>“normal time” is defined as</w:t>
      </w:r>
      <w:r w:rsidR="00C454D5">
        <w:t xml:space="preserve"> </w:t>
      </w:r>
      <w:r w:rsidR="00C454D5">
        <w:fldChar w:fldCharType="begin">
          <w:ffData>
            <w:name w:val="Text29"/>
            <w:enabled/>
            <w:calcOnExit w:val="0"/>
            <w:textInput>
              <w:default w:val="(…INSERT definition of “normal time” EG, “eight hours per day between 07:00 – 19:00”…)"/>
            </w:textInput>
          </w:ffData>
        </w:fldChar>
      </w:r>
      <w:r w:rsidR="00C454D5">
        <w:instrText xml:space="preserve"> FORMTEXT </w:instrText>
      </w:r>
      <w:r w:rsidR="00C454D5">
        <w:fldChar w:fldCharType="separate"/>
      </w:r>
      <w:r w:rsidR="00C454D5">
        <w:rPr>
          <w:noProof/>
        </w:rPr>
        <w:t>(…INSERT definition of “normal time” EG, “eight hours per day between 07:00 – 19:00”…)</w:t>
      </w:r>
      <w:r w:rsidR="00C454D5">
        <w:fldChar w:fldCharType="end"/>
      </w:r>
      <w:r w:rsidR="00C454D5">
        <w:t xml:space="preserve"> on a Working Day; and</w:t>
      </w:r>
    </w:p>
    <w:p w14:paraId="2A742B65" w14:textId="11B22101" w:rsidR="00C454D5" w:rsidRPr="00430478" w:rsidRDefault="00C454D5" w:rsidP="00C454D5">
      <w:pPr>
        <w:pStyle w:val="COTCOCLV4-ASDEFCON"/>
      </w:pPr>
      <w:r>
        <w:t>“other time” includes all times other than “normal time”.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5"/>
      </w:tblGrid>
      <w:tr w:rsidR="00EC2E38" w:rsidRPr="00077C58" w14:paraId="343515A6" w14:textId="77777777" w:rsidTr="00077C58">
        <w:tc>
          <w:tcPr>
            <w:tcW w:w="9321" w:type="dxa"/>
          </w:tcPr>
          <w:p w14:paraId="6244C0FD" w14:textId="77777777" w:rsidR="00EC2E38" w:rsidRPr="00185893" w:rsidRDefault="00EC2E38" w:rsidP="00DA7657">
            <w:pPr>
              <w:pStyle w:val="ASDEFCONOption"/>
            </w:pPr>
            <w:r w:rsidRPr="00185893">
              <w:rPr>
                <w:lang w:eastAsia="en-US"/>
              </w:rPr>
              <w:t>Option:  Include the following clause when foreign currencies are applicable</w:t>
            </w:r>
            <w:r w:rsidRPr="00185893">
              <w:t>.</w:t>
            </w:r>
          </w:p>
          <w:p w14:paraId="63DE4318" w14:textId="737A21EE" w:rsidR="00EC2E38" w:rsidRDefault="00FA051D" w:rsidP="00FA051D">
            <w:pPr>
              <w:pStyle w:val="COTCOCLV3-ASDEFCON"/>
            </w:pPr>
            <w:bookmarkStart w:id="96" w:name="_Ref83128502"/>
            <w:r>
              <w:t>I</w:t>
            </w:r>
            <w:r w:rsidR="009D45FF">
              <w:t>f an</w:t>
            </w:r>
            <w:r w:rsidR="009D45FF" w:rsidRPr="00185893">
              <w:t xml:space="preserve"> </w:t>
            </w:r>
            <w:r w:rsidR="009D45FF">
              <w:t>S&amp;Q Service will include component</w:t>
            </w:r>
            <w:r w:rsidR="00701391">
              <w:t xml:space="preserve"> cost</w:t>
            </w:r>
            <w:r w:rsidR="009D45FF">
              <w:t>s in foreign currencies</w:t>
            </w:r>
            <w:r w:rsidR="00701391">
              <w:t>, for rates that are no</w:t>
            </w:r>
            <w:r w:rsidR="00713A6A">
              <w:t>t</w:t>
            </w:r>
            <w:r w:rsidR="00701391">
              <w:t xml:space="preserve"> included in Annex </w:t>
            </w:r>
            <w:r w:rsidR="00451738">
              <w:t>E</w:t>
            </w:r>
            <w:r w:rsidR="00701391">
              <w:t>,</w:t>
            </w:r>
            <w:r w:rsidR="009D45FF">
              <w:t xml:space="preserve"> </w:t>
            </w:r>
            <w:r w:rsidR="00EC2E38" w:rsidRPr="00185893">
              <w:t xml:space="preserve">values </w:t>
            </w:r>
            <w:r w:rsidR="00701391">
              <w:t xml:space="preserve">are to be </w:t>
            </w:r>
            <w:r>
              <w:t>quoted</w:t>
            </w:r>
            <w:r w:rsidR="00701391">
              <w:t xml:space="preserve"> </w:t>
            </w:r>
            <w:r>
              <w:t xml:space="preserve">in source currency and </w:t>
            </w:r>
            <w:r w:rsidRPr="00185893">
              <w:t xml:space="preserve">equivalent </w:t>
            </w:r>
            <w:r>
              <w:t>Australian dollars (</w:t>
            </w:r>
            <w:r w:rsidR="00EC2E38" w:rsidRPr="00185893">
              <w:t>using the R</w:t>
            </w:r>
            <w:r w:rsidR="00A3292C">
              <w:t xml:space="preserve">eserve </w:t>
            </w:r>
            <w:r w:rsidR="00EC2E38" w:rsidRPr="00185893">
              <w:t>B</w:t>
            </w:r>
            <w:r w:rsidR="00A3292C">
              <w:t xml:space="preserve">ank of </w:t>
            </w:r>
            <w:r w:rsidR="00EC2E38" w:rsidRPr="00185893">
              <w:t>A</w:t>
            </w:r>
            <w:r w:rsidR="00A3292C">
              <w:t>ustralia</w:t>
            </w:r>
            <w:r w:rsidR="00EC2E38" w:rsidRPr="00185893">
              <w:t xml:space="preserve"> rate as at the day prior to the submission of the S&amp;Q Quote</w:t>
            </w:r>
            <w:r>
              <w:t>)</w:t>
            </w:r>
            <w:r w:rsidR="00EC2E38" w:rsidRPr="00185893">
              <w:t xml:space="preserve"> inclusive of all applicable taxes and other duties</w:t>
            </w:r>
            <w:r w:rsidR="00701391">
              <w:t>, or as otherwise agreed between the parties</w:t>
            </w:r>
            <w:r w:rsidR="00EC2E38" w:rsidRPr="00185893">
              <w:t>.</w:t>
            </w:r>
            <w:bookmarkEnd w:id="96"/>
          </w:p>
          <w:p w14:paraId="02ACA4A6" w14:textId="32252A58" w:rsidR="00FA051D" w:rsidRPr="00185893" w:rsidRDefault="00FA051D" w:rsidP="008A7685">
            <w:pPr>
              <w:pStyle w:val="COTCOCLV3-ASDEFCON"/>
            </w:pPr>
            <w:r>
              <w:t xml:space="preserve">Where an S&amp;Q Quote is submitted that includes </w:t>
            </w:r>
            <w:r w:rsidR="008A7685">
              <w:t>amounts</w:t>
            </w:r>
            <w:r>
              <w:t xml:space="preserve"> </w:t>
            </w:r>
            <w:r w:rsidR="008A7685">
              <w:t xml:space="preserve">priced </w:t>
            </w:r>
            <w:r>
              <w:t xml:space="preserve">in foreign currencies, and equivalent Australian dollar amounts </w:t>
            </w:r>
            <w:r w:rsidR="008A7685">
              <w:t xml:space="preserve">determined </w:t>
            </w:r>
            <w:r>
              <w:t xml:space="preserve">in accordance with clause </w:t>
            </w:r>
            <w:r>
              <w:fldChar w:fldCharType="begin"/>
            </w:r>
            <w:r>
              <w:instrText xml:space="preserve"> REF _Ref83128502 \r \h </w:instrText>
            </w:r>
            <w:r>
              <w:fldChar w:fldCharType="separate"/>
            </w:r>
            <w:r w:rsidR="007B78E8">
              <w:t>6.1.3</w:t>
            </w:r>
            <w:r>
              <w:fldChar w:fldCharType="end"/>
            </w:r>
            <w:r>
              <w:t xml:space="preserve">, the Commonwealth may elect to </w:t>
            </w:r>
            <w:r w:rsidR="00050692">
              <w:t>pay any amounts under any resulting S&amp;Q Order in either source currency or Australian dollars</w:t>
            </w:r>
            <w:r w:rsidR="008A7685">
              <w:t>,</w:t>
            </w:r>
            <w:r w:rsidR="00050692">
              <w:t xml:space="preserve"> as applicable.</w:t>
            </w:r>
          </w:p>
        </w:tc>
      </w:tr>
    </w:tbl>
    <w:p w14:paraId="2AB7FE26" w14:textId="77777777" w:rsidR="00920630" w:rsidRDefault="00920630" w:rsidP="00C52E8B">
      <w:pPr>
        <w:pStyle w:val="ASDEFCONOptionSpace"/>
      </w:pPr>
    </w:p>
    <w:p w14:paraId="738C54A0" w14:textId="734B4C38" w:rsidR="00EC2E38" w:rsidRPr="003F42BF" w:rsidRDefault="00EC2E38" w:rsidP="00DA7657">
      <w:pPr>
        <w:pStyle w:val="COTCOCLV2-ASDEFCON"/>
      </w:pPr>
      <w:r w:rsidRPr="003F42BF">
        <w:t>Not-To-</w:t>
      </w:r>
      <w:r w:rsidR="001F3301" w:rsidRPr="003F42BF">
        <w:t xml:space="preserve">Exceed </w:t>
      </w:r>
      <w:r w:rsidRPr="003F42BF">
        <w:t>S&amp;Q Services</w:t>
      </w:r>
    </w:p>
    <w:p w14:paraId="4E9ADB05" w14:textId="21BF983F" w:rsidR="00EF13FD" w:rsidRDefault="00EC2E38" w:rsidP="000C2509">
      <w:pPr>
        <w:pStyle w:val="COTCOCLV3-ASDEFCON"/>
      </w:pPr>
      <w:r w:rsidRPr="00B24E22">
        <w:t>This clause applies to an S&amp;Q Service to the extent that the S&amp;Q Order specifies a Not-To-Exceed basis for pricing and payment.</w:t>
      </w:r>
    </w:p>
    <w:p w14:paraId="25D11C85" w14:textId="55E04AA4" w:rsidR="00EF13FD" w:rsidRDefault="00EC2E38" w:rsidP="000C2509">
      <w:pPr>
        <w:pStyle w:val="COTCOCLV3-ASDEFCON"/>
      </w:pPr>
      <w:r w:rsidRPr="00B24E22">
        <w:t>The Commonw</w:t>
      </w:r>
      <w:r w:rsidRPr="00E557E1">
        <w:t>ealth shall</w:t>
      </w:r>
      <w:r>
        <w:t>, f</w:t>
      </w:r>
      <w:r w:rsidRPr="00E557E1">
        <w:t xml:space="preserve">or each </w:t>
      </w:r>
      <w:r>
        <w:t xml:space="preserve">Not-To-Exceed </w:t>
      </w:r>
      <w:r w:rsidRPr="00E557E1">
        <w:t>S&amp;Q Service, pay to the Contractor</w:t>
      </w:r>
      <w:r>
        <w:t>, monthly in arrears,</w:t>
      </w:r>
      <w:r w:rsidRPr="00E557E1">
        <w:t xml:space="preserve"> the lesser of:</w:t>
      </w:r>
    </w:p>
    <w:p w14:paraId="3A2665DC" w14:textId="3A08B8CF" w:rsidR="00EC2E38" w:rsidRPr="00E557E1" w:rsidRDefault="00EC2E38" w:rsidP="000C2509">
      <w:pPr>
        <w:pStyle w:val="COTCOCLV4-ASDEFCON"/>
      </w:pPr>
      <w:r w:rsidRPr="00E557E1">
        <w:t xml:space="preserve">the </w:t>
      </w:r>
      <w:r>
        <w:t>c</w:t>
      </w:r>
      <w:r w:rsidRPr="00E557E1">
        <w:t xml:space="preserve">osts incurred by the Contractor in performing the S&amp;Q Service, calculated using the labour rates specified in Annex </w:t>
      </w:r>
      <w:r w:rsidR="00050692">
        <w:t>E</w:t>
      </w:r>
      <w:r>
        <w:t xml:space="preserve"> </w:t>
      </w:r>
      <w:r w:rsidRPr="00E557E1">
        <w:t>and by applying the mark</w:t>
      </w:r>
      <w:r w:rsidR="009F0D34">
        <w:t>-</w:t>
      </w:r>
      <w:r w:rsidRPr="00E557E1">
        <w:t xml:space="preserve">up specified in Annex </w:t>
      </w:r>
      <w:r>
        <w:t xml:space="preserve">E </w:t>
      </w:r>
      <w:r w:rsidRPr="00E557E1">
        <w:t>to materials</w:t>
      </w:r>
      <w:r>
        <w:t>,</w:t>
      </w:r>
      <w:r w:rsidRPr="00E557E1">
        <w:t xml:space="preserve"> </w:t>
      </w:r>
      <w:r>
        <w:t>S</w:t>
      </w:r>
      <w:r w:rsidRPr="00E557E1">
        <w:t xml:space="preserve">ubcontract </w:t>
      </w:r>
      <w:r>
        <w:t>and other Allowable C</w:t>
      </w:r>
      <w:r w:rsidRPr="00E557E1">
        <w:t xml:space="preserve">osts (where </w:t>
      </w:r>
      <w:r>
        <w:t>applicable</w:t>
      </w:r>
      <w:r w:rsidRPr="00E557E1">
        <w:t xml:space="preserve">); </w:t>
      </w:r>
      <w:r>
        <w:t>or</w:t>
      </w:r>
    </w:p>
    <w:p w14:paraId="6E1E6BFB" w14:textId="77777777" w:rsidR="00EC2E38" w:rsidRPr="00E557E1" w:rsidRDefault="00EC2E38" w:rsidP="000C2509">
      <w:pPr>
        <w:pStyle w:val="COTCOCLV4-ASDEFCON"/>
      </w:pPr>
      <w:r w:rsidRPr="00E557E1">
        <w:t>the</w:t>
      </w:r>
      <w:r>
        <w:t xml:space="preserve"> Not-To-Exceed price set out in the</w:t>
      </w:r>
      <w:r w:rsidRPr="00E557E1">
        <w:t xml:space="preserve"> S&amp;Q </w:t>
      </w:r>
      <w:r>
        <w:t>Order</w:t>
      </w:r>
      <w:r w:rsidRPr="00E557E1">
        <w:t>.</w:t>
      </w:r>
    </w:p>
    <w:p w14:paraId="20216BD4" w14:textId="0D784DFC" w:rsidR="00EC2E38" w:rsidRPr="00E557E1" w:rsidRDefault="001F3301" w:rsidP="00DA7657">
      <w:pPr>
        <w:pStyle w:val="COTCOCLV2-ASDEFCON"/>
      </w:pPr>
      <w:r w:rsidRPr="00E557E1">
        <w:t>Fi</w:t>
      </w:r>
      <w:r>
        <w:t>rm</w:t>
      </w:r>
      <w:r w:rsidRPr="00E557E1">
        <w:t xml:space="preserve"> Price </w:t>
      </w:r>
      <w:r w:rsidR="00EC2E38" w:rsidRPr="00E557E1">
        <w:t>S&amp;Q Services</w:t>
      </w:r>
    </w:p>
    <w:p w14:paraId="623FDBA7" w14:textId="1C99E9AC" w:rsidR="00EF13FD" w:rsidRDefault="00EC2E38" w:rsidP="000C2509">
      <w:pPr>
        <w:pStyle w:val="COTCOCLV3-ASDEFCON"/>
      </w:pPr>
      <w:r w:rsidRPr="00E557E1">
        <w:t xml:space="preserve">This clause applies to an S&amp;Q Service </w:t>
      </w:r>
      <w:r>
        <w:t>to the extent that</w:t>
      </w:r>
      <w:r w:rsidRPr="00E557E1">
        <w:t xml:space="preserve"> the </w:t>
      </w:r>
      <w:r>
        <w:t>S&amp;Q</w:t>
      </w:r>
      <w:r w:rsidRPr="00E557E1">
        <w:t xml:space="preserve"> Order specifies a Fi</w:t>
      </w:r>
      <w:r>
        <w:t>rm</w:t>
      </w:r>
      <w:r w:rsidRPr="00E557E1">
        <w:t xml:space="preserve"> Price basis for pricing and payment.</w:t>
      </w:r>
    </w:p>
    <w:p w14:paraId="530DA382" w14:textId="77777777" w:rsidR="00EC2E38" w:rsidRPr="00E557E1" w:rsidRDefault="00EC2E38" w:rsidP="000C2509">
      <w:pPr>
        <w:pStyle w:val="COTCOCLV3-ASDEFCON"/>
      </w:pPr>
      <w:r w:rsidRPr="00E557E1">
        <w:t xml:space="preserve">The Commonwealth shall, for </w:t>
      </w:r>
      <w:r>
        <w:t>each Firm Price</w:t>
      </w:r>
      <w:r w:rsidRPr="00E557E1">
        <w:t xml:space="preserve"> S&amp;Q Service, pay to the Contractor</w:t>
      </w:r>
      <w:r>
        <w:t>, monthly in arrears,</w:t>
      </w:r>
      <w:r w:rsidRPr="00E557E1">
        <w:t xml:space="preserve"> the following:</w:t>
      </w:r>
    </w:p>
    <w:p w14:paraId="4D469881" w14:textId="77777777" w:rsidR="00EC2E38" w:rsidRPr="00E557E1" w:rsidRDefault="00EC2E38" w:rsidP="000C2509">
      <w:pPr>
        <w:pStyle w:val="COTCOCLV4-ASDEFCON"/>
      </w:pPr>
      <w:r w:rsidRPr="00E557E1">
        <w:t xml:space="preserve">if the Contractor achieves a </w:t>
      </w:r>
      <w:r>
        <w:t>m</w:t>
      </w:r>
      <w:r w:rsidRPr="00E557E1">
        <w:t xml:space="preserve">ilestone specified in the </w:t>
      </w:r>
      <w:r>
        <w:t>S&amp;Q</w:t>
      </w:r>
      <w:r w:rsidRPr="00E557E1">
        <w:t xml:space="preserve"> Order, the amount specified for the </w:t>
      </w:r>
      <w:r>
        <w:t>m</w:t>
      </w:r>
      <w:r w:rsidRPr="00E557E1">
        <w:t>ilestone</w:t>
      </w:r>
      <w:r w:rsidRPr="00E557E1" w:rsidDel="006E7DCE">
        <w:t xml:space="preserve"> </w:t>
      </w:r>
      <w:r w:rsidRPr="00E557E1">
        <w:t xml:space="preserve">in the </w:t>
      </w:r>
      <w:r>
        <w:t>S&amp;Q</w:t>
      </w:r>
      <w:r w:rsidRPr="00E557E1">
        <w:t xml:space="preserve"> Order;</w:t>
      </w:r>
    </w:p>
    <w:p w14:paraId="28556462" w14:textId="77777777" w:rsidR="00EC2E38" w:rsidRPr="00E557E1" w:rsidRDefault="00EC2E38" w:rsidP="000C2509">
      <w:pPr>
        <w:pStyle w:val="COTCOCLV4-ASDEFCON"/>
      </w:pPr>
      <w:r w:rsidRPr="00E557E1">
        <w:t xml:space="preserve">upon Acceptance of the S&amp;Q Service (and Acceptance of any associated Deliverables), </w:t>
      </w:r>
      <w:r>
        <w:t>any amount</w:t>
      </w:r>
      <w:r w:rsidRPr="00E557E1">
        <w:t xml:space="preserve"> specified in the </w:t>
      </w:r>
      <w:r>
        <w:t>S&amp;Q</w:t>
      </w:r>
      <w:r w:rsidRPr="00E557E1">
        <w:t xml:space="preserve"> Order as being payable upon Acceptance;</w:t>
      </w:r>
      <w:r>
        <w:t xml:space="preserve"> and</w:t>
      </w:r>
    </w:p>
    <w:p w14:paraId="6EF8BD12" w14:textId="77777777" w:rsidR="00EC2E38" w:rsidRPr="00E557E1" w:rsidRDefault="00EC2E38" w:rsidP="000C2509">
      <w:pPr>
        <w:pStyle w:val="COTCOCLV4-ASDEFCON"/>
      </w:pPr>
      <w:r>
        <w:t>any other amount</w:t>
      </w:r>
      <w:r w:rsidRPr="00E557E1">
        <w:t xml:space="preserve"> specified to be payable in accordance with the </w:t>
      </w:r>
      <w:r>
        <w:t>S&amp;Q</w:t>
      </w:r>
      <w:r w:rsidRPr="00E557E1">
        <w:t xml:space="preserve"> Order</w:t>
      </w:r>
      <w:r>
        <w:t>.</w:t>
      </w:r>
    </w:p>
    <w:p w14:paraId="7888EDB4" w14:textId="6B5E3C54" w:rsidR="00EC2E38" w:rsidRPr="0066273A" w:rsidRDefault="00A2458D" w:rsidP="00DA7657">
      <w:pPr>
        <w:pStyle w:val="COTCOCLV1-ASDEFCON"/>
      </w:pPr>
      <w:bookmarkStart w:id="97" w:name="_Toc79580093"/>
      <w:bookmarkStart w:id="98" w:name="_Toc79646463"/>
      <w:bookmarkStart w:id="99" w:name="_Toc79646544"/>
      <w:bookmarkStart w:id="100" w:name="_Toc79580095"/>
      <w:bookmarkStart w:id="101" w:name="_Toc79646465"/>
      <w:bookmarkStart w:id="102" w:name="_Toc79646547"/>
      <w:bookmarkStart w:id="103" w:name="_Toc79580096"/>
      <w:bookmarkStart w:id="104" w:name="_Toc79646466"/>
      <w:bookmarkStart w:id="105" w:name="_Toc79646548"/>
      <w:bookmarkStart w:id="106" w:name="_Ref79646116"/>
      <w:bookmarkStart w:id="107" w:name="_Toc97811152"/>
      <w:bookmarkEnd w:id="97"/>
      <w:bookmarkEnd w:id="98"/>
      <w:bookmarkEnd w:id="99"/>
      <w:bookmarkEnd w:id="100"/>
      <w:bookmarkEnd w:id="101"/>
      <w:bookmarkEnd w:id="102"/>
      <w:bookmarkEnd w:id="103"/>
      <w:bookmarkEnd w:id="104"/>
      <w:bookmarkEnd w:id="105"/>
      <w:r w:rsidRPr="0066273A">
        <w:t xml:space="preserve">Adjustments </w:t>
      </w:r>
      <w:r w:rsidR="00EC2E38" w:rsidRPr="0066273A">
        <w:t>(CORE)</w:t>
      </w:r>
      <w:bookmarkEnd w:id="106"/>
      <w:bookmarkEnd w:id="107"/>
    </w:p>
    <w:p w14:paraId="38141823" w14:textId="722D83A6" w:rsidR="00EC2E38" w:rsidRDefault="00EC2E38" w:rsidP="00DA7657">
      <w:pPr>
        <w:pStyle w:val="NoteToTenderers-ASDEFCON"/>
      </w:pPr>
      <w:r w:rsidRPr="0066273A">
        <w:t xml:space="preserve">Note to tenderers: </w:t>
      </w:r>
      <w:r>
        <w:t xml:space="preserve"> </w:t>
      </w:r>
      <w:r w:rsidR="004C3607">
        <w:t xml:space="preserve">Clause </w:t>
      </w:r>
      <w:r w:rsidR="004C3607">
        <w:fldChar w:fldCharType="begin"/>
      </w:r>
      <w:r w:rsidR="004C3607">
        <w:instrText xml:space="preserve"> REF _Ref79646116 \r \h </w:instrText>
      </w:r>
      <w:r w:rsidR="004C3607">
        <w:fldChar w:fldCharType="separate"/>
      </w:r>
      <w:r w:rsidR="007B78E8">
        <w:t>7</w:t>
      </w:r>
      <w:r w:rsidR="004C3607">
        <w:fldChar w:fldCharType="end"/>
      </w:r>
      <w:r w:rsidR="004C3607">
        <w:t xml:space="preserve">, including </w:t>
      </w:r>
      <w:r>
        <w:t xml:space="preserve">Annex </w:t>
      </w:r>
      <w:r w:rsidR="00461DBB">
        <w:t>F</w:t>
      </w:r>
      <w:r w:rsidR="004C3607">
        <w:t>,</w:t>
      </w:r>
      <w:r>
        <w:t xml:space="preserve"> will consist of an </w:t>
      </w:r>
      <w:r w:rsidRPr="0066273A">
        <w:t xml:space="preserve">amalgamation of the </w:t>
      </w:r>
      <w:r w:rsidR="004C3607">
        <w:t>successful tenderer’s response to</w:t>
      </w:r>
      <w:r w:rsidRPr="0066273A">
        <w:t xml:space="preserve"> TDR D</w:t>
      </w:r>
      <w:r>
        <w:t>-</w:t>
      </w:r>
      <w:r w:rsidR="00AF2701">
        <w:t>8</w:t>
      </w:r>
      <w:r w:rsidR="004C3607">
        <w:t xml:space="preserve">, including the </w:t>
      </w:r>
      <w:r w:rsidR="000A2B2F">
        <w:t>SPTPW</w:t>
      </w:r>
      <w:r w:rsidR="004C3607" w:rsidDel="00461589">
        <w:t xml:space="preserve"> ‘</w:t>
      </w:r>
      <w:r w:rsidR="004C3607">
        <w:t>Adjustments</w:t>
      </w:r>
      <w:r w:rsidR="004C3607" w:rsidDel="00461589">
        <w:t xml:space="preserve">’ </w:t>
      </w:r>
      <w:r w:rsidR="008042BF">
        <w:t>worksheet</w:t>
      </w:r>
      <w:r w:rsidR="005D636D">
        <w:t xml:space="preserve">, </w:t>
      </w:r>
      <w:r w:rsidRPr="0066273A">
        <w:t>and any negotiated adjustments.</w:t>
      </w:r>
      <w:r w:rsidR="00A84424">
        <w:t xml:space="preserve">  </w:t>
      </w:r>
      <w:r w:rsidR="00A84424" w:rsidRPr="00BD4038">
        <w:t>Agreements reached as a result of workplace enterprise bargaining are not considered to be awards for the purposes of the formula set out below</w:t>
      </w:r>
      <w:r w:rsidR="00A84424">
        <w:t>.</w:t>
      </w:r>
    </w:p>
    <w:p w14:paraId="17D8DEE5" w14:textId="00AB744B" w:rsidR="0088533F" w:rsidRDefault="0088533F" w:rsidP="00DA7657">
      <w:pPr>
        <w:pStyle w:val="COTCOCLV2-ASDEFCON"/>
      </w:pPr>
      <w:bookmarkStart w:id="108" w:name="_Toc48727134"/>
      <w:bookmarkStart w:id="109" w:name="_Ref51409610"/>
      <w:bookmarkStart w:id="110" w:name="_Ref51462691"/>
      <w:bookmarkStart w:id="111" w:name="_Ref51477643"/>
      <w:bookmarkStart w:id="112" w:name="_Ref51477868"/>
      <w:bookmarkStart w:id="113" w:name="_Ref102549112"/>
      <w:bookmarkStart w:id="114" w:name="_Ref102549673"/>
      <w:bookmarkStart w:id="115" w:name="_Ref102552516"/>
      <w:bookmarkStart w:id="116" w:name="_Toc234298853"/>
      <w:bookmarkStart w:id="117" w:name="_Ref242243833"/>
      <w:bookmarkStart w:id="118" w:name="_Ref288678786"/>
      <w:bookmarkStart w:id="119" w:name="_Toc250376789"/>
      <w:bookmarkStart w:id="120" w:name="_Toc296357527"/>
      <w:bookmarkStart w:id="121" w:name="_Ref321997653"/>
      <w:bookmarkStart w:id="122" w:name="_Ref327128090"/>
      <w:bookmarkEnd w:id="65"/>
      <w:bookmarkEnd w:id="83"/>
      <w:bookmarkEnd w:id="84"/>
      <w:r>
        <w:t>General</w:t>
      </w:r>
    </w:p>
    <w:p w14:paraId="4C991060" w14:textId="18B032C2" w:rsidR="00CE3EB5" w:rsidRPr="00CE3EB5" w:rsidRDefault="00CE3EB5" w:rsidP="00DA7657">
      <w:pPr>
        <w:pStyle w:val="NoteToTenderers-ASDEFCON"/>
      </w:pPr>
      <w:r>
        <w:t>Note to tenderers: The Adjustment Date is defined in the Glossary in relation to the Effective Date.  Where this is not optimal with respect to the publishing of applicable labour and materials indices, tenderers may</w:t>
      </w:r>
      <w:r w:rsidR="00D22A8F">
        <w:t xml:space="preserve"> identify a more suitable date (eg, that corresponds to the release of pricing indices in the predominant currency used under an</w:t>
      </w:r>
      <w:r w:rsidR="00386005">
        <w:t>y</w:t>
      </w:r>
      <w:r w:rsidR="00D22A8F">
        <w:t xml:space="preserve"> resultant Contract).</w:t>
      </w:r>
    </w:p>
    <w:p w14:paraId="6126EF4F" w14:textId="13AC86F1" w:rsidR="0088533F" w:rsidRDefault="0088533F" w:rsidP="0088533F">
      <w:pPr>
        <w:pStyle w:val="COTCOCLV3-ASDEFCON"/>
      </w:pPr>
      <w:r>
        <w:t xml:space="preserve">In this clause </w:t>
      </w:r>
      <w:r>
        <w:fldChar w:fldCharType="begin"/>
      </w:r>
      <w:r>
        <w:instrText xml:space="preserve"> REF _Ref79646116 \r \h </w:instrText>
      </w:r>
      <w:r>
        <w:fldChar w:fldCharType="separate"/>
      </w:r>
      <w:r w:rsidR="007B78E8">
        <w:t>7</w:t>
      </w:r>
      <w:r>
        <w:fldChar w:fldCharType="end"/>
      </w:r>
      <w:r>
        <w:t>, the following interpretations apply:</w:t>
      </w:r>
    </w:p>
    <w:p w14:paraId="2DB794FF" w14:textId="62A9718B" w:rsidR="0088533F" w:rsidRDefault="00386005" w:rsidP="0088533F">
      <w:pPr>
        <w:pStyle w:val="COTCOCLV4-ASDEFCON"/>
      </w:pPr>
      <w:r>
        <w:t xml:space="preserve">when applicable, </w:t>
      </w:r>
      <w:r w:rsidR="0088533F">
        <w:t>the pricing tables in the Annexes to this Attachment are adjusted annually, from the Adjustment Date, in accordance with clause 7.4 of the COC;</w:t>
      </w:r>
    </w:p>
    <w:p w14:paraId="76DBD8AB" w14:textId="77777777" w:rsidR="0088533F" w:rsidRDefault="0088533F" w:rsidP="0088533F">
      <w:pPr>
        <w:pStyle w:val="COTCOCLV4-ASDEFCON"/>
      </w:pPr>
      <w:bookmarkStart w:id="123" w:name="_Ref80022983"/>
      <w:r>
        <w:t>the price for a Milestone is the price applicable to the due date for achievement of that Milestone (ie, not a price applicable to a later date, if achievement of the Milestone or if the invoice was submitted, subsequent to the Adjustment Date);</w:t>
      </w:r>
      <w:bookmarkEnd w:id="123"/>
    </w:p>
    <w:p w14:paraId="6B1416BF" w14:textId="07FC0CA8" w:rsidR="0088533F" w:rsidRDefault="0088533F" w:rsidP="0088533F">
      <w:pPr>
        <w:pStyle w:val="COTCOCLV4-ASDEFCON"/>
      </w:pPr>
      <w:r>
        <w:t xml:space="preserve">subject to paragraph </w:t>
      </w:r>
      <w:r>
        <w:fldChar w:fldCharType="begin"/>
      </w:r>
      <w:r>
        <w:instrText xml:space="preserve"> REF _Ref80022983 \r \h </w:instrText>
      </w:r>
      <w:r>
        <w:fldChar w:fldCharType="separate"/>
      </w:r>
      <w:r w:rsidR="007B78E8">
        <w:t>b</w:t>
      </w:r>
      <w:r>
        <w:fldChar w:fldCharType="end"/>
      </w:r>
      <w:r>
        <w:t>, the price for a Service is the price applicable to the period of when the Service was performed, not the date of the invoice (ie, if the invoice was submitted subsequent to the Adjustment Date);</w:t>
      </w:r>
    </w:p>
    <w:p w14:paraId="7CB99CB0" w14:textId="2FC65254" w:rsidR="0088533F" w:rsidRDefault="0088533F" w:rsidP="0088533F">
      <w:pPr>
        <w:pStyle w:val="COTCOCLV4-ASDEFCON"/>
      </w:pPr>
      <w:r>
        <w:t xml:space="preserve">for any Excluded Services Fee applicable to an amount that is charged by Defence (eg, a utilities contribution for GFF), the adjusted price is to be determined from the amount of the Commonwealth charge plus the </w:t>
      </w:r>
      <w:r w:rsidR="0094713E">
        <w:t>Indirect Overheads (including</w:t>
      </w:r>
      <w:r>
        <w:t xml:space="preserve"> general and administrative charge</w:t>
      </w:r>
      <w:r w:rsidR="0094713E">
        <w:t>)</w:t>
      </w:r>
      <w:r>
        <w:t>, rather than indices;</w:t>
      </w:r>
    </w:p>
    <w:p w14:paraId="77BCFD27" w14:textId="2C81E4CA" w:rsidR="0088533F" w:rsidRDefault="00DF4CAB" w:rsidP="0088533F">
      <w:pPr>
        <w:pStyle w:val="COTCOCLV4-ASDEFCON"/>
      </w:pPr>
      <w:r>
        <w:t xml:space="preserve">in accordance with clause 7.4.1b. of the COC, </w:t>
      </w:r>
      <w:r w:rsidR="0088533F">
        <w:t>unless stated otherwise in an S&amp;Q Order, prices for an S&amp;Q Service are not subject to an adjustment;</w:t>
      </w:r>
    </w:p>
    <w:p w14:paraId="2848ACB1" w14:textId="77777777" w:rsidR="0088533F" w:rsidRDefault="0088533F" w:rsidP="0088533F">
      <w:pPr>
        <w:pStyle w:val="COTCOCLV4-ASDEFCON"/>
      </w:pPr>
      <w:bookmarkStart w:id="124" w:name="_Ref80021478"/>
      <w:r>
        <w:t>if a source of an index publishes provisional and final index numbers, index numbers designated as provisional shall not be used;</w:t>
      </w:r>
      <w:bookmarkEnd w:id="124"/>
    </w:p>
    <w:p w14:paraId="0715CEF5" w14:textId="645CFEFA" w:rsidR="0088533F" w:rsidRDefault="0088533F" w:rsidP="0088533F">
      <w:pPr>
        <w:pStyle w:val="COTCOCLV4-ASDEFCON"/>
      </w:pPr>
      <w:r>
        <w:t xml:space="preserve">subject to paragraph </w:t>
      </w:r>
      <w:r>
        <w:fldChar w:fldCharType="begin"/>
      </w:r>
      <w:r>
        <w:instrText xml:space="preserve"> REF _Ref80021478 \r \h </w:instrText>
      </w:r>
      <w:r>
        <w:fldChar w:fldCharType="separate"/>
      </w:r>
      <w:r w:rsidR="007B78E8">
        <w:t>f</w:t>
      </w:r>
      <w:r>
        <w:fldChar w:fldCharType="end"/>
      </w:r>
      <w:r>
        <w:t>, if an index is published more than once during a year, for the purposes of the formulae, the index number for that year shall be taken to be the last index number officially published within that year; and</w:t>
      </w:r>
    </w:p>
    <w:p w14:paraId="6AB13982" w14:textId="61F48FD7" w:rsidR="0088533F" w:rsidRDefault="0088533F" w:rsidP="0088533F">
      <w:pPr>
        <w:pStyle w:val="COTCOCLV4-ASDEFCON"/>
      </w:pPr>
      <w:r>
        <w:t>if an index is discontinued, rebased or modified and the entity publishing that index provides official guidance on the replacement, bridging or re-baselining methodology to be applied, that guidance should be used as one of the inputs for determining any required update the index</w:t>
      </w:r>
      <w:r w:rsidR="005B7182">
        <w:t>.</w:t>
      </w:r>
    </w:p>
    <w:p w14:paraId="75EED964" w14:textId="1B5B6EA6" w:rsidR="00EC2E38" w:rsidRDefault="00EC2E38" w:rsidP="00DA7657">
      <w:pPr>
        <w:pStyle w:val="COTCOCLV2-ASDEFCON"/>
      </w:pPr>
      <w:bookmarkStart w:id="125" w:name="_Ref83105267"/>
      <w:r>
        <w:t xml:space="preserve">Adjustment </w:t>
      </w:r>
      <w:r w:rsidR="00170D00">
        <w:t>Process</w:t>
      </w:r>
      <w:r w:rsidR="00086824">
        <w:t xml:space="preserve"> </w:t>
      </w:r>
      <w:r w:rsidR="00F22C76">
        <w:t>(CORE</w:t>
      </w:r>
      <w:r>
        <w: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5"/>
    </w:p>
    <w:p w14:paraId="2218384B" w14:textId="04E61D1A" w:rsidR="00F9543A" w:rsidRDefault="00F9543A" w:rsidP="00DA7657">
      <w:pPr>
        <w:pStyle w:val="NoteToDrafters-ASDEFCON"/>
      </w:pPr>
      <w:bookmarkStart w:id="126" w:name="_Ref75258550"/>
      <w:r>
        <w:t xml:space="preserve">Note to drafters:  Include the words “and </w:t>
      </w:r>
      <w:r w:rsidR="00453EB3">
        <w:t>foreign exchange rates</w:t>
      </w:r>
      <w:r>
        <w:t>” in the following clause if payments will not be made in source currency</w:t>
      </w:r>
      <w:r w:rsidR="00453EB3">
        <w:t>.</w:t>
      </w:r>
    </w:p>
    <w:p w14:paraId="547229DB" w14:textId="107CFD31" w:rsidR="0088533F" w:rsidRDefault="0088533F" w:rsidP="0088533F">
      <w:pPr>
        <w:pStyle w:val="COTCOCLV3-ASDEFCON"/>
      </w:pPr>
      <w:r>
        <w:t xml:space="preserve">For each </w:t>
      </w:r>
      <w:r w:rsidR="00476ED1">
        <w:t xml:space="preserve">price </w:t>
      </w:r>
      <w:r w:rsidR="00B079FB">
        <w:t xml:space="preserve">(excluding labour rates for </w:t>
      </w:r>
      <w:r w:rsidR="00476ED1">
        <w:t xml:space="preserve">S&amp;Q </w:t>
      </w:r>
      <w:r w:rsidR="00B079FB">
        <w:t>Services)</w:t>
      </w:r>
      <w:r w:rsidR="00476ED1">
        <w:t xml:space="preserve"> subject to adjustment for fluctuations in the cost of labour and materials [</w:t>
      </w:r>
      <w:r w:rsidR="00453EB3">
        <w:t>…</w:t>
      </w:r>
      <w:r w:rsidR="00476ED1">
        <w:t xml:space="preserve">, </w:t>
      </w:r>
      <w:r w:rsidR="00476ED1" w:rsidRPr="00453EB3">
        <w:t xml:space="preserve">and </w:t>
      </w:r>
      <w:r w:rsidR="00453EB3">
        <w:t>foreign exchange rates…</w:t>
      </w:r>
      <w:r w:rsidR="00476ED1">
        <w:t>]</w:t>
      </w:r>
      <w:r>
        <w:t xml:space="preserve"> identified in this Attachment B, the following price adjustment formula shall be applied in accordance with clause 7.</w:t>
      </w:r>
      <w:r w:rsidR="004E0AB8">
        <w:t>4</w:t>
      </w:r>
      <w:r>
        <w:t xml:space="preserve"> of the conditions of contract</w:t>
      </w:r>
      <w:bookmarkEnd w:id="126"/>
      <w:r w:rsidR="00F45403">
        <w:t>:</w:t>
      </w:r>
    </w:p>
    <w:p w14:paraId="46E8FC35" w14:textId="7A138D05" w:rsidR="00916DB3" w:rsidRDefault="00453EB3" w:rsidP="00DA7657">
      <w:pPr>
        <w:pStyle w:val="NoteToDrafters-ASDEFCON"/>
      </w:pPr>
      <w:r w:rsidRPr="00453EB3">
        <w:t xml:space="preserve">Note to drafters: </w:t>
      </w:r>
      <w:r>
        <w:t xml:space="preserve">There are two options </w:t>
      </w:r>
      <w:r w:rsidR="00EE5DEE">
        <w:t>provided</w:t>
      </w:r>
      <w:r>
        <w:t xml:space="preserve"> for adjusting prices</w:t>
      </w:r>
      <w:r w:rsidR="00CD6D1F">
        <w:t xml:space="preserve"> / S&amp;Q rates</w:t>
      </w:r>
      <w:r w:rsidR="00916DB3">
        <w:t>:</w:t>
      </w:r>
    </w:p>
    <w:p w14:paraId="1516D77A" w14:textId="7E8C9D24" w:rsidR="00453EB3" w:rsidRDefault="00453EB3" w:rsidP="00DA7657">
      <w:pPr>
        <w:pStyle w:val="NoteToDraftersBullets-ASDEFCON"/>
      </w:pPr>
      <w:r>
        <w:t>Option A</w:t>
      </w:r>
      <w:r w:rsidR="00916DB3">
        <w:t xml:space="preserve"> all</w:t>
      </w:r>
      <w:r>
        <w:t xml:space="preserve">ows for one labour </w:t>
      </w:r>
      <w:r w:rsidR="00CD6D1F">
        <w:t xml:space="preserve">index </w:t>
      </w:r>
      <w:r>
        <w:t>and</w:t>
      </w:r>
      <w:r w:rsidR="004B2B6A">
        <w:t>/or</w:t>
      </w:r>
      <w:r>
        <w:t xml:space="preserve"> one materials index to be applied </w:t>
      </w:r>
      <w:r w:rsidR="00EE5DEE">
        <w:t xml:space="preserve">for </w:t>
      </w:r>
      <w:r w:rsidR="003730DB">
        <w:t xml:space="preserve">all prices in a </w:t>
      </w:r>
      <w:r w:rsidR="00CD6D1F">
        <w:t xml:space="preserve">source currency (ie, for each currency, </w:t>
      </w:r>
      <w:r w:rsidR="00F80421">
        <w:t xml:space="preserve">only </w:t>
      </w:r>
      <w:r w:rsidR="00CD6D1F">
        <w:t xml:space="preserve">two indices </w:t>
      </w:r>
      <w:r w:rsidR="003730DB">
        <w:t>can be</w:t>
      </w:r>
      <w:r w:rsidR="00CD6D1F">
        <w:t xml:space="preserve"> used)</w:t>
      </w:r>
      <w:r w:rsidR="00916DB3">
        <w:t>.</w:t>
      </w:r>
    </w:p>
    <w:p w14:paraId="284EFE8D" w14:textId="04AC5C92" w:rsidR="00916DB3" w:rsidRDefault="00916DB3" w:rsidP="00916DB3">
      <w:pPr>
        <w:pStyle w:val="NoteToDraftersBullets-ASDEFCON"/>
      </w:pPr>
      <w:r>
        <w:t>Option B allows for mu</w:t>
      </w:r>
      <w:r w:rsidR="00EE5DEE">
        <w:t>ltiple labour and</w:t>
      </w:r>
      <w:r w:rsidR="004B2B6A">
        <w:t>/or</w:t>
      </w:r>
      <w:r w:rsidR="00EE5DEE">
        <w:t xml:space="preserve"> price indices that can </w:t>
      </w:r>
      <w:r>
        <w:t xml:space="preserve">be applied to </w:t>
      </w:r>
      <w:r w:rsidR="00EE5DEE">
        <w:t>different</w:t>
      </w:r>
      <w:r>
        <w:t xml:space="preserve"> price</w:t>
      </w:r>
      <w:r w:rsidR="00EE5DEE">
        <w:t>s, in each source currency</w:t>
      </w:r>
      <w:r>
        <w:t>.</w:t>
      </w:r>
    </w:p>
    <w:p w14:paraId="7C9342E3" w14:textId="1BCAA750" w:rsidR="00CD6D1F" w:rsidRDefault="00CD6D1F" w:rsidP="00DA7657">
      <w:pPr>
        <w:pStyle w:val="NoteToDrafters-ASDEFCON"/>
      </w:pPr>
      <w:r>
        <w:t xml:space="preserve">Option A </w:t>
      </w:r>
      <w:r w:rsidR="00362947">
        <w:t xml:space="preserve">is </w:t>
      </w:r>
      <w:r w:rsidR="00EE5DEE">
        <w:t>the</w:t>
      </w:r>
      <w:r>
        <w:t xml:space="preserve"> simpler </w:t>
      </w:r>
      <w:r w:rsidR="00362947">
        <w:t>metho</w:t>
      </w:r>
      <w:r w:rsidR="00D17113">
        <w:t>d</w:t>
      </w:r>
      <w:r w:rsidR="008B2EA3">
        <w:t>,</w:t>
      </w:r>
      <w:r>
        <w:t xml:space="preserve"> </w:t>
      </w:r>
      <w:r w:rsidR="008B2EA3">
        <w:t>using</w:t>
      </w:r>
      <w:r w:rsidR="009D7695">
        <w:t xml:space="preserve"> only two indices</w:t>
      </w:r>
      <w:r w:rsidR="008B2EA3">
        <w:t xml:space="preserve"> that reflect</w:t>
      </w:r>
      <w:r w:rsidR="009D7695">
        <w:t xml:space="preserve"> </w:t>
      </w:r>
      <w:r w:rsidR="008B2EA3">
        <w:t xml:space="preserve">the </w:t>
      </w:r>
      <w:r w:rsidR="009D7695">
        <w:t>broad</w:t>
      </w:r>
      <w:r w:rsidR="008B2EA3">
        <w:t>-based</w:t>
      </w:r>
      <w:r w:rsidR="009D7695">
        <w:t xml:space="preserve"> </w:t>
      </w:r>
      <w:r w:rsidR="00DE76B9">
        <w:t xml:space="preserve">changes </w:t>
      </w:r>
      <w:r w:rsidR="008B2EA3">
        <w:t>to</w:t>
      </w:r>
      <w:r w:rsidR="009D7695">
        <w:t xml:space="preserve"> labour and materials</w:t>
      </w:r>
      <w:r w:rsidR="00DE76B9">
        <w:t xml:space="preserve"> </w:t>
      </w:r>
      <w:r w:rsidR="008B2EA3">
        <w:t>prices in a given currency</w:t>
      </w:r>
      <w:r w:rsidR="00D17113">
        <w:t>.  T</w:t>
      </w:r>
      <w:r w:rsidR="009D7695">
        <w:t xml:space="preserve">his method </w:t>
      </w:r>
      <w:r w:rsidR="00D17113">
        <w:t>can be</w:t>
      </w:r>
      <w:r w:rsidR="009D7695">
        <w:t xml:space="preserve"> less accurate </w:t>
      </w:r>
      <w:r w:rsidR="00D17113">
        <w:t xml:space="preserve">with divergence between average and actual prices </w:t>
      </w:r>
      <w:r w:rsidR="008B2EA3">
        <w:t xml:space="preserve">occurring </w:t>
      </w:r>
      <w:r w:rsidR="00D17113">
        <w:t xml:space="preserve">over time, </w:t>
      </w:r>
      <w:r w:rsidR="0022134E">
        <w:t>and</w:t>
      </w:r>
      <w:r w:rsidR="00362947">
        <w:t xml:space="preserve"> </w:t>
      </w:r>
      <w:r w:rsidR="009D7695">
        <w:t xml:space="preserve">assistance from FIS may be required to </w:t>
      </w:r>
      <w:r w:rsidR="008B2EA3">
        <w:t xml:space="preserve">review and </w:t>
      </w:r>
      <w:r w:rsidR="009D7695">
        <w:t>readjust pricing</w:t>
      </w:r>
      <w:r w:rsidR="00362947">
        <w:t xml:space="preserve"> </w:t>
      </w:r>
      <w:r w:rsidR="00D17113">
        <w:t>after a number of years</w:t>
      </w:r>
      <w:r w:rsidR="009D7695">
        <w:t>.</w:t>
      </w:r>
    </w:p>
    <w:p w14:paraId="50146A8C" w14:textId="16E8141A" w:rsidR="00362947" w:rsidRDefault="00362947" w:rsidP="00CD6D1F">
      <w:pPr>
        <w:pStyle w:val="NoteToDrafters-ASDEFCON"/>
      </w:pPr>
      <w:r>
        <w:t xml:space="preserve">Option B </w:t>
      </w:r>
      <w:r w:rsidR="008B2EA3">
        <w:t xml:space="preserve">is </w:t>
      </w:r>
      <w:r w:rsidR="0002792B">
        <w:t>intend</w:t>
      </w:r>
      <w:r w:rsidR="008B2EA3">
        <w:t>ed</w:t>
      </w:r>
      <w:r w:rsidR="0002792B">
        <w:t xml:space="preserve"> to </w:t>
      </w:r>
      <w:r w:rsidR="00D0381E">
        <w:t>provide</w:t>
      </w:r>
      <w:r w:rsidR="0002792B">
        <w:t xml:space="preserve"> greater accuracy</w:t>
      </w:r>
      <w:r w:rsidR="008B2EA3">
        <w:t>,</w:t>
      </w:r>
      <w:r w:rsidR="0002792B">
        <w:t xml:space="preserve"> but </w:t>
      </w:r>
      <w:r w:rsidR="00EA7556">
        <w:t>requires</w:t>
      </w:r>
      <w:r w:rsidR="008B2EA3">
        <w:t xml:space="preserve"> numerous indices </w:t>
      </w:r>
      <w:r w:rsidR="00EA7556">
        <w:t>and a</w:t>
      </w:r>
      <w:r w:rsidR="00EE5DEE">
        <w:t xml:space="preserve"> more </w:t>
      </w:r>
      <w:r>
        <w:t xml:space="preserve">complex </w:t>
      </w:r>
      <w:r w:rsidR="00EA7556">
        <w:t>formula</w:t>
      </w:r>
      <w:r w:rsidR="0002792B">
        <w:t>.  This method uses sets of indice</w:t>
      </w:r>
      <w:r w:rsidR="00DE76B9">
        <w:t>s</w:t>
      </w:r>
      <w:r w:rsidR="0002792B">
        <w:t xml:space="preserve"> and </w:t>
      </w:r>
      <w:r w:rsidR="006877EB">
        <w:t xml:space="preserve">corresponding </w:t>
      </w:r>
      <w:r w:rsidR="00DE76B9">
        <w:t>component</w:t>
      </w:r>
      <w:r w:rsidR="0002792B">
        <w:t xml:space="preserve"> </w:t>
      </w:r>
      <w:r w:rsidR="00D0381E">
        <w:t>weighting</w:t>
      </w:r>
      <w:r w:rsidR="006877EB">
        <w:t>s</w:t>
      </w:r>
      <w:r w:rsidR="00D0381E">
        <w:t>, which</w:t>
      </w:r>
      <w:r w:rsidR="0002792B">
        <w:t xml:space="preserve"> can be applied to </w:t>
      </w:r>
      <w:r w:rsidR="00DE76B9">
        <w:t>various</w:t>
      </w:r>
      <w:r w:rsidR="00D0381E">
        <w:t xml:space="preserve"> prices</w:t>
      </w:r>
      <w:r w:rsidR="0002792B">
        <w:t xml:space="preserve">. </w:t>
      </w:r>
      <w:r w:rsidR="000B2E69">
        <w:t xml:space="preserve"> </w:t>
      </w:r>
      <w:r w:rsidR="00D0381E">
        <w:t xml:space="preserve">This </w:t>
      </w:r>
      <w:r w:rsidR="000B2E69">
        <w:t xml:space="preserve">option </w:t>
      </w:r>
      <w:r w:rsidR="00DE76B9">
        <w:t xml:space="preserve">is suited to </w:t>
      </w:r>
      <w:r w:rsidR="000B2E69">
        <w:t xml:space="preserve">higher value contracts that </w:t>
      </w:r>
      <w:r w:rsidR="004B2B6A">
        <w:t xml:space="preserve">include </w:t>
      </w:r>
      <w:r w:rsidR="000B2E69">
        <w:t xml:space="preserve">Prescribed ACE Percentages, when accurate adjustments to </w:t>
      </w:r>
      <w:r w:rsidR="00DE76B9">
        <w:t xml:space="preserve">the </w:t>
      </w:r>
      <w:r w:rsidR="000B2E69">
        <w:t>Australian Contract Expenditure (ACE) and Imported Contract Expenditure (ICE)</w:t>
      </w:r>
      <w:r w:rsidR="00EE5DEE">
        <w:t xml:space="preserve"> </w:t>
      </w:r>
      <w:r w:rsidR="004B2B6A">
        <w:t xml:space="preserve">within prices </w:t>
      </w:r>
      <w:r w:rsidR="00EE5DEE">
        <w:t>will be required.</w:t>
      </w:r>
    </w:p>
    <w:p w14:paraId="7FF627D6" w14:textId="527893B1" w:rsidR="00BF31C4" w:rsidRPr="00453EB3" w:rsidRDefault="00BF31C4" w:rsidP="00CD6D1F">
      <w:pPr>
        <w:pStyle w:val="NoteToDrafters-ASDEFCON"/>
      </w:pPr>
      <w:r>
        <w:t xml:space="preserve">Both options apply a formula to an individual price or rate for S&amp;Q Services on the assumption that the Commonwealth will pay in source currency.  </w:t>
      </w:r>
      <w:r w:rsidR="00732756">
        <w:t>If</w:t>
      </w:r>
      <w:r w:rsidR="00CD6D1F">
        <w:t xml:space="preserve"> </w:t>
      </w:r>
      <w:r w:rsidR="00732756">
        <w:t xml:space="preserve">the </w:t>
      </w:r>
      <w:r w:rsidR="00CD6D1F">
        <w:t xml:space="preserve">foreign currency </w:t>
      </w:r>
      <w:r w:rsidR="00732756">
        <w:t xml:space="preserve">amount </w:t>
      </w:r>
      <w:r w:rsidR="00CD6D1F">
        <w:t>is relatively low</w:t>
      </w:r>
      <w:r w:rsidR="00732756">
        <w:t>,</w:t>
      </w:r>
      <w:r w:rsidR="00CD6D1F">
        <w:t xml:space="preserve"> and the Commonwealth choses </w:t>
      </w:r>
      <w:r w:rsidR="00732756">
        <w:t>to</w:t>
      </w:r>
      <w:r w:rsidR="00CD6D1F">
        <w:t xml:space="preserve"> </w:t>
      </w:r>
      <w:r w:rsidR="00732756">
        <w:t>only pay in Australian dollars</w:t>
      </w:r>
      <w:r w:rsidR="00CD6D1F">
        <w:t xml:space="preserve">, then the </w:t>
      </w:r>
      <w:r w:rsidR="00732756">
        <w:t xml:space="preserve">price adjustment </w:t>
      </w:r>
      <w:r w:rsidR="00CD6D1F">
        <w:t>formula will need to be modified to include foreign labour and/or materials indices.</w:t>
      </w:r>
    </w:p>
    <w:p w14:paraId="27487305" w14:textId="66F6E4B2" w:rsidR="00684FFA" w:rsidRDefault="00116BBA" w:rsidP="00DA7657">
      <w:pPr>
        <w:pStyle w:val="ASDEFCONOption"/>
      </w:pPr>
      <w:r w:rsidRPr="00F45403">
        <w:t>Option A:</w:t>
      </w:r>
      <w:r>
        <w:t xml:space="preserve">  </w:t>
      </w:r>
      <w:r w:rsidR="003730DB">
        <w:t>For when pricing in each currency will be adjusted using one labour index and</w:t>
      </w:r>
      <w:r w:rsidR="00666C74">
        <w:t>/or</w:t>
      </w:r>
      <w:r w:rsidR="003730DB">
        <w:t xml:space="preserve"> one materials index.</w:t>
      </w:r>
    </w:p>
    <w:p w14:paraId="11A706F8" w14:textId="0095D9C0" w:rsidR="00F45403" w:rsidRDefault="007B78E8" w:rsidP="00F45403">
      <w:pPr>
        <w:pStyle w:val="ASDEFCONOption"/>
      </w:pPr>
      <m:oMathPara>
        <m:oMath>
          <m:sSub>
            <m:sSubPr>
              <m:ctrlPr>
                <w:rPr>
                  <w:rFonts w:ascii="Cambria Math" w:hAnsi="Cambria Math"/>
                </w:rPr>
              </m:ctrlPr>
            </m:sSubPr>
            <m:e>
              <m:r>
                <m:rPr>
                  <m:sty m:val="bi"/>
                </m:rPr>
                <w:rPr>
                  <w:rFonts w:ascii="Cambria Math" w:hAnsi="Cambria Math"/>
                </w:rPr>
                <m:t>P</m:t>
              </m:r>
            </m:e>
            <m:sub>
              <m:r>
                <m:rPr>
                  <m:sty m:val="bi"/>
                </m:rPr>
                <w:rPr>
                  <w:rFonts w:ascii="Cambria Math" w:hAnsi="Cambria Math"/>
                </w:rPr>
                <m:t>1</m:t>
              </m:r>
            </m:sub>
          </m:sSub>
          <m:r>
            <m:rPr>
              <m:sty m:val="bi"/>
            </m:rPr>
            <w:rPr>
              <w:rFonts w:ascii="Cambria Math" w:hAnsi="Cambria Math"/>
            </w:rPr>
            <m:t>=</m:t>
          </m:r>
          <m:d>
            <m:dPr>
              <m:ctrlPr>
                <w:rPr>
                  <w:rFonts w:ascii="Cambria Math" w:hAnsi="Cambria Math"/>
                </w:rPr>
              </m:ctrlPr>
            </m:dPr>
            <m:e>
              <m:r>
                <m:rPr>
                  <m:sty m:val="bi"/>
                </m:rPr>
                <w:rPr>
                  <w:rFonts w:ascii="Cambria Math" w:hAnsi="Cambria Math"/>
                </w:rPr>
                <m:t>Y*</m:t>
              </m:r>
              <m:f>
                <m:fPr>
                  <m:ctrlPr>
                    <w:rPr>
                      <w:rFonts w:ascii="Cambria Math" w:hAnsi="Cambria Math"/>
                    </w:rPr>
                  </m:ctrlPr>
                </m:fPr>
                <m:num>
                  <m:sSub>
                    <m:sSubPr>
                      <m:ctrlPr>
                        <w:rPr>
                          <w:rFonts w:ascii="Cambria Math" w:hAnsi="Cambria Math"/>
                        </w:rPr>
                      </m:ctrlPr>
                    </m:sSubPr>
                    <m:e>
                      <m:r>
                        <m:rPr>
                          <m:sty m:val="bi"/>
                        </m:rPr>
                        <w:rPr>
                          <w:rFonts w:ascii="Cambria Math" w:hAnsi="Cambria Math"/>
                        </w:rPr>
                        <m:t>L</m:t>
                      </m:r>
                    </m:e>
                    <m:sub>
                      <m:r>
                        <m:rPr>
                          <m:sty m:val="bi"/>
                        </m:rPr>
                        <w:rPr>
                          <w:rFonts w:ascii="Cambria Math" w:hAnsi="Cambria Math"/>
                        </w:rPr>
                        <m:t>1</m:t>
                      </m:r>
                    </m:sub>
                  </m:sSub>
                </m:num>
                <m:den>
                  <m:sSub>
                    <m:sSubPr>
                      <m:ctrlPr>
                        <w:rPr>
                          <w:rFonts w:ascii="Cambria Math" w:hAnsi="Cambria Math"/>
                        </w:rPr>
                      </m:ctrlPr>
                    </m:sSubPr>
                    <m:e>
                      <m:r>
                        <m:rPr>
                          <m:sty m:val="bi"/>
                        </m:rPr>
                        <w:rPr>
                          <w:rFonts w:ascii="Cambria Math" w:hAnsi="Cambria Math"/>
                        </w:rPr>
                        <m:t>L</m:t>
                      </m:r>
                    </m:e>
                    <m:sub>
                      <m:r>
                        <m:rPr>
                          <m:sty m:val="bi"/>
                        </m:rPr>
                        <w:rPr>
                          <w:rFonts w:ascii="Cambria Math" w:hAnsi="Cambria Math"/>
                        </w:rPr>
                        <m:t>0</m:t>
                      </m:r>
                    </m:sub>
                  </m:sSub>
                </m:den>
              </m:f>
              <m:r>
                <m:rPr>
                  <m:sty m:val="bi"/>
                </m:rPr>
                <w:rPr>
                  <w:rFonts w:ascii="Cambria Math" w:hAnsi="Cambria Math"/>
                </w:rPr>
                <m:t>+Z*</m:t>
              </m:r>
              <m:f>
                <m:fPr>
                  <m:ctrlPr>
                    <w:rPr>
                      <w:rFonts w:ascii="Cambria Math" w:hAnsi="Cambria Math"/>
                    </w:rPr>
                  </m:ctrlPr>
                </m:fPr>
                <m:num>
                  <m:sSub>
                    <m:sSubPr>
                      <m:ctrlPr>
                        <w:rPr>
                          <w:rFonts w:ascii="Cambria Math" w:hAnsi="Cambria Math"/>
                        </w:rPr>
                      </m:ctrlPr>
                    </m:sSubPr>
                    <m:e>
                      <m:r>
                        <m:rPr>
                          <m:sty m:val="bi"/>
                        </m:rPr>
                        <w:rPr>
                          <w:rFonts w:ascii="Cambria Math" w:hAnsi="Cambria Math"/>
                        </w:rPr>
                        <m:t>M</m:t>
                      </m:r>
                    </m:e>
                    <m:sub>
                      <m:r>
                        <m:rPr>
                          <m:sty m:val="bi"/>
                        </m:rPr>
                        <w:rPr>
                          <w:rFonts w:ascii="Cambria Math" w:hAnsi="Cambria Math"/>
                        </w:rPr>
                        <m:t>1</m:t>
                      </m:r>
                    </m:sub>
                  </m:sSub>
                </m:num>
                <m:den>
                  <m:sSub>
                    <m:sSubPr>
                      <m:ctrlPr>
                        <w:rPr>
                          <w:rFonts w:ascii="Cambria Math" w:hAnsi="Cambria Math"/>
                        </w:rPr>
                      </m:ctrlPr>
                    </m:sSubPr>
                    <m:e>
                      <m:r>
                        <m:rPr>
                          <m:sty m:val="bi"/>
                        </m:rPr>
                        <w:rPr>
                          <w:rFonts w:ascii="Cambria Math" w:hAnsi="Cambria Math"/>
                        </w:rPr>
                        <m:t>M</m:t>
                      </m:r>
                    </m:e>
                    <m:sub>
                      <m:r>
                        <m:rPr>
                          <m:sty m:val="bi"/>
                        </m:rPr>
                        <w:rPr>
                          <w:rFonts w:ascii="Cambria Math" w:hAnsi="Cambria Math"/>
                        </w:rPr>
                        <m:t>0</m:t>
                      </m:r>
                    </m:sub>
                  </m:sSub>
                </m:den>
              </m:f>
            </m:e>
          </m:d>
          <m:r>
            <m:rPr>
              <m:sty m:val="bi"/>
            </m:rPr>
            <w:rPr>
              <w:rFonts w:ascii="Cambria Math" w:hAnsi="Cambria Math"/>
            </w:rPr>
            <m:t>*</m:t>
          </m:r>
          <m:sSub>
            <m:sSubPr>
              <m:ctrlPr>
                <w:rPr>
                  <w:rFonts w:ascii="Cambria Math" w:hAnsi="Cambria Math"/>
                </w:rPr>
              </m:ctrlPr>
            </m:sSubPr>
            <m:e>
              <m:r>
                <m:rPr>
                  <m:sty m:val="bi"/>
                </m:rPr>
                <w:rPr>
                  <w:rFonts w:ascii="Cambria Math" w:hAnsi="Cambria Math"/>
                </w:rPr>
                <m:t>P</m:t>
              </m:r>
            </m:e>
            <m:sub>
              <m:r>
                <m:rPr>
                  <m:sty m:val="bi"/>
                </m:rPr>
                <w:rPr>
                  <w:rFonts w:ascii="Cambria Math" w:hAnsi="Cambria Math"/>
                </w:rPr>
                <m:t>0</m:t>
              </m:r>
            </m:sub>
          </m:sSub>
        </m:oMath>
      </m:oMathPara>
    </w:p>
    <w:p w14:paraId="43CFC9A7" w14:textId="77777777" w:rsidR="00624170" w:rsidRDefault="00624170" w:rsidP="00DA7657">
      <w:pPr>
        <w:pStyle w:val="COTCOCLV3NONUM-ASDEFCON"/>
      </w:pPr>
      <w:r>
        <w:t>where:</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01"/>
      </w:tblGrid>
      <w:tr w:rsidR="00624170" w:rsidRPr="00F25DFF" w14:paraId="26949387" w14:textId="77777777" w:rsidTr="008D55FE">
        <w:trPr>
          <w:cantSplit/>
        </w:trPr>
        <w:tc>
          <w:tcPr>
            <w:tcW w:w="709" w:type="dxa"/>
            <w:shd w:val="clear" w:color="auto" w:fill="auto"/>
          </w:tcPr>
          <w:p w14:paraId="1577EB48" w14:textId="77777777" w:rsidR="00624170" w:rsidRPr="00F25DFF" w:rsidRDefault="00624170" w:rsidP="00DA7657">
            <w:pPr>
              <w:pStyle w:val="Table8ptHeading-ASDEFCON"/>
            </w:pPr>
            <w:r w:rsidRPr="00F25DFF">
              <w:t>Ref</w:t>
            </w:r>
          </w:p>
        </w:tc>
        <w:tc>
          <w:tcPr>
            <w:tcW w:w="7201" w:type="dxa"/>
            <w:shd w:val="clear" w:color="auto" w:fill="auto"/>
          </w:tcPr>
          <w:p w14:paraId="3489D3F1" w14:textId="77777777" w:rsidR="00624170" w:rsidRPr="00F25DFF" w:rsidRDefault="00624170" w:rsidP="00DA7657">
            <w:pPr>
              <w:pStyle w:val="Table8ptHeading-ASDEFCON"/>
            </w:pPr>
            <w:r w:rsidRPr="00F25DFF">
              <w:t>Description</w:t>
            </w:r>
          </w:p>
        </w:tc>
      </w:tr>
      <w:tr w:rsidR="00624170" w:rsidRPr="003B4D5A" w14:paraId="11050628" w14:textId="77777777" w:rsidTr="008D55FE">
        <w:trPr>
          <w:cantSplit/>
        </w:trPr>
        <w:tc>
          <w:tcPr>
            <w:tcW w:w="709" w:type="dxa"/>
            <w:shd w:val="clear" w:color="auto" w:fill="auto"/>
          </w:tcPr>
          <w:p w14:paraId="2CEC66C1" w14:textId="6B38356F" w:rsidR="00624170" w:rsidRPr="00F25DFF" w:rsidRDefault="00624170" w:rsidP="00DA7657">
            <w:pPr>
              <w:pStyle w:val="Table8ptText-ASDEFCON"/>
            </w:pPr>
            <w:r w:rsidRPr="00F25DFF">
              <w:t>P</w:t>
            </w:r>
            <w:r w:rsidR="00AE72D8">
              <w:rPr>
                <w:vertAlign w:val="subscript"/>
              </w:rPr>
              <w:t>1</w:t>
            </w:r>
          </w:p>
        </w:tc>
        <w:tc>
          <w:tcPr>
            <w:tcW w:w="7201" w:type="dxa"/>
            <w:shd w:val="clear" w:color="auto" w:fill="auto"/>
          </w:tcPr>
          <w:p w14:paraId="042EC33F" w14:textId="3AFF7990" w:rsidR="00624170" w:rsidRPr="00F25DFF" w:rsidRDefault="008D55FE" w:rsidP="00DA7657">
            <w:pPr>
              <w:pStyle w:val="Table8ptText-ASDEFCON"/>
            </w:pPr>
            <w:r>
              <w:t xml:space="preserve">the new (ie, </w:t>
            </w:r>
            <w:r w:rsidR="00624170">
              <w:t>adjusted</w:t>
            </w:r>
            <w:r>
              <w:t>)</w:t>
            </w:r>
            <w:r w:rsidR="00624170">
              <w:t xml:space="preserve"> price</w:t>
            </w:r>
            <w:r w:rsidR="008B794F">
              <w:t xml:space="preserve">, in </w:t>
            </w:r>
            <w:r w:rsidR="00624170">
              <w:t>a particular source currency.</w:t>
            </w:r>
          </w:p>
        </w:tc>
      </w:tr>
      <w:tr w:rsidR="00624170" w:rsidRPr="003B4D5A" w14:paraId="743AE99D" w14:textId="77777777" w:rsidTr="008D55FE">
        <w:trPr>
          <w:cantSplit/>
        </w:trPr>
        <w:tc>
          <w:tcPr>
            <w:tcW w:w="709" w:type="dxa"/>
            <w:shd w:val="clear" w:color="auto" w:fill="auto"/>
          </w:tcPr>
          <w:p w14:paraId="08C9DDD6" w14:textId="6D4A7B5F" w:rsidR="00624170" w:rsidRPr="003B4D5A" w:rsidRDefault="00624170" w:rsidP="00DA7657">
            <w:pPr>
              <w:pStyle w:val="Table8ptText-ASDEFCON"/>
            </w:pPr>
            <w:r w:rsidRPr="003B4D5A">
              <w:t>P</w:t>
            </w:r>
            <w:r w:rsidR="00A72DB1" w:rsidRPr="00A72DB1">
              <w:rPr>
                <w:vertAlign w:val="subscript"/>
              </w:rPr>
              <w:t>0</w:t>
            </w:r>
          </w:p>
        </w:tc>
        <w:tc>
          <w:tcPr>
            <w:tcW w:w="7201" w:type="dxa"/>
            <w:shd w:val="clear" w:color="auto" w:fill="auto"/>
          </w:tcPr>
          <w:p w14:paraId="43502226" w14:textId="4C5FEE7D" w:rsidR="00624170" w:rsidRPr="003B4D5A" w:rsidRDefault="008B794F" w:rsidP="00DA7657">
            <w:pPr>
              <w:pStyle w:val="Table8ptText-ASDEFCON"/>
            </w:pPr>
            <w:r>
              <w:t xml:space="preserve">the </w:t>
            </w:r>
            <w:r w:rsidR="008D55FE">
              <w:t xml:space="preserve">baseline </w:t>
            </w:r>
            <w:r>
              <w:t xml:space="preserve">price </w:t>
            </w:r>
            <w:r w:rsidR="00394F9F">
              <w:t>in a particular source currency</w:t>
            </w:r>
            <w:r w:rsidR="008D55FE">
              <w:t>,</w:t>
            </w:r>
            <w:r w:rsidR="000B4DF2">
              <w:t xml:space="preserve"> </w:t>
            </w:r>
            <w:r w:rsidR="00394F9F">
              <w:t>being</w:t>
            </w:r>
            <w:r w:rsidR="00F32C46">
              <w:t xml:space="preserve"> </w:t>
            </w:r>
            <w:r w:rsidR="008D55FE">
              <w:t xml:space="preserve">either </w:t>
            </w:r>
            <w:r w:rsidR="00F32C46">
              <w:t xml:space="preserve">the </w:t>
            </w:r>
            <w:r w:rsidR="00394F9F">
              <w:t xml:space="preserve">amount for the </w:t>
            </w:r>
            <w:r w:rsidR="00F32C46">
              <w:t xml:space="preserve">previous period or </w:t>
            </w:r>
            <w:r w:rsidR="00394F9F">
              <w:t xml:space="preserve">at </w:t>
            </w:r>
            <w:r w:rsidR="008D55FE">
              <w:t xml:space="preserve">the </w:t>
            </w:r>
            <w:r w:rsidR="00394F9F">
              <w:t xml:space="preserve">Base Date </w:t>
            </w:r>
            <w:r w:rsidR="008D55FE">
              <w:t>(</w:t>
            </w:r>
            <w:r w:rsidR="00F32C46">
              <w:t>for the first adjustment</w:t>
            </w:r>
            <w:r w:rsidR="008D55FE">
              <w:t>)</w:t>
            </w:r>
            <w:r w:rsidR="00624170">
              <w:t>.</w:t>
            </w:r>
          </w:p>
        </w:tc>
      </w:tr>
      <w:tr w:rsidR="00624170" w:rsidRPr="00F25DFF" w14:paraId="095BF8B3" w14:textId="77777777" w:rsidTr="008D55FE">
        <w:trPr>
          <w:cantSplit/>
        </w:trPr>
        <w:tc>
          <w:tcPr>
            <w:tcW w:w="709" w:type="dxa"/>
            <w:shd w:val="clear" w:color="auto" w:fill="auto"/>
          </w:tcPr>
          <w:p w14:paraId="03822E02" w14:textId="3B639258" w:rsidR="00624170" w:rsidRPr="003B4D5A" w:rsidRDefault="00624170" w:rsidP="00DA7657">
            <w:pPr>
              <w:pStyle w:val="Table8ptText-ASDEFCON"/>
            </w:pPr>
            <w:r w:rsidRPr="003B4D5A">
              <w:t>Y</w:t>
            </w:r>
          </w:p>
        </w:tc>
        <w:tc>
          <w:tcPr>
            <w:tcW w:w="7201" w:type="dxa"/>
            <w:shd w:val="clear" w:color="auto" w:fill="auto"/>
          </w:tcPr>
          <w:p w14:paraId="342BA4BF" w14:textId="5415E7D5" w:rsidR="00624170" w:rsidRPr="00F25DFF" w:rsidRDefault="00821113" w:rsidP="00FC7276">
            <w:pPr>
              <w:pStyle w:val="Table8ptText-ASDEFCON"/>
            </w:pPr>
            <w:r>
              <w:t xml:space="preserve">the </w:t>
            </w:r>
            <w:r w:rsidR="00FC7276">
              <w:t>proportion</w:t>
            </w:r>
            <w:r w:rsidR="00DE697E" w:rsidRPr="003B4D5A">
              <w:t xml:space="preserve"> </w:t>
            </w:r>
            <w:r w:rsidR="00624170" w:rsidRPr="003B4D5A">
              <w:t>(expressed as a decimal)</w:t>
            </w:r>
            <w:r w:rsidR="00624170" w:rsidRPr="008243B5">
              <w:t xml:space="preserve"> </w:t>
            </w:r>
            <w:r w:rsidR="00FC7276">
              <w:t xml:space="preserve">of a price </w:t>
            </w:r>
            <w:r>
              <w:t xml:space="preserve">that is attributed to </w:t>
            </w:r>
            <w:r w:rsidRPr="003B4D5A">
              <w:t xml:space="preserve">labour </w:t>
            </w:r>
            <w:r>
              <w:t xml:space="preserve">and </w:t>
            </w:r>
            <w:r w:rsidR="00624170">
              <w:t xml:space="preserve">associated with a specific labour index (L) </w:t>
            </w:r>
            <w:r w:rsidR="00BD7A4F">
              <w:t xml:space="preserve">for a </w:t>
            </w:r>
            <w:r w:rsidR="00624170">
              <w:t>source currency.</w:t>
            </w:r>
          </w:p>
        </w:tc>
      </w:tr>
      <w:tr w:rsidR="00624170" w:rsidRPr="003B4D5A" w14:paraId="5B432F55" w14:textId="77777777" w:rsidTr="008D55FE">
        <w:trPr>
          <w:cantSplit/>
        </w:trPr>
        <w:tc>
          <w:tcPr>
            <w:tcW w:w="709" w:type="dxa"/>
            <w:shd w:val="clear" w:color="auto" w:fill="auto"/>
          </w:tcPr>
          <w:p w14:paraId="28609F2E" w14:textId="2C919B0E" w:rsidR="00624170" w:rsidRPr="00F25DFF" w:rsidRDefault="00624170" w:rsidP="00DA7657">
            <w:pPr>
              <w:pStyle w:val="Table8ptText-ASDEFCON"/>
            </w:pPr>
            <w:r w:rsidRPr="00F25DFF">
              <w:t>L</w:t>
            </w:r>
            <w:r w:rsidR="007F70CF">
              <w:rPr>
                <w:vertAlign w:val="subscript"/>
              </w:rPr>
              <w:t>1</w:t>
            </w:r>
          </w:p>
        </w:tc>
        <w:tc>
          <w:tcPr>
            <w:tcW w:w="7201" w:type="dxa"/>
            <w:shd w:val="clear" w:color="auto" w:fill="auto"/>
          </w:tcPr>
          <w:p w14:paraId="69E6EDF1" w14:textId="15819DC1" w:rsidR="00624170" w:rsidRPr="00F25DFF" w:rsidRDefault="00624170" w:rsidP="00DA7657">
            <w:pPr>
              <w:pStyle w:val="Table8ptText-ASDEFCON"/>
            </w:pPr>
            <w:r>
              <w:t xml:space="preserve">the </w:t>
            </w:r>
            <w:r w:rsidRPr="00F25DFF">
              <w:t xml:space="preserve">labour index </w:t>
            </w:r>
            <w:r w:rsidR="0022134E">
              <w:t>value</w:t>
            </w:r>
            <w:r w:rsidR="0022134E" w:rsidRPr="00F25DFF">
              <w:t xml:space="preserve"> </w:t>
            </w:r>
            <w:r w:rsidR="00C14CFF">
              <w:t xml:space="preserve">(number) </w:t>
            </w:r>
            <w:r w:rsidR="0022134E">
              <w:t>for the new pricing period,</w:t>
            </w:r>
            <w:r>
              <w:t xml:space="preserve"> </w:t>
            </w:r>
            <w:r w:rsidR="0022134E">
              <w:t>for</w:t>
            </w:r>
            <w:r>
              <w:t xml:space="preserve"> a</w:t>
            </w:r>
            <w:r w:rsidR="00AF6A88">
              <w:t xml:space="preserve"> particular source currency</w:t>
            </w:r>
            <w:r>
              <w:t>.</w:t>
            </w:r>
          </w:p>
        </w:tc>
      </w:tr>
      <w:tr w:rsidR="00624170" w:rsidRPr="00F25DFF" w14:paraId="07D4114D" w14:textId="77777777" w:rsidTr="008D55FE">
        <w:trPr>
          <w:cantSplit/>
        </w:trPr>
        <w:tc>
          <w:tcPr>
            <w:tcW w:w="709" w:type="dxa"/>
            <w:shd w:val="clear" w:color="auto" w:fill="auto"/>
          </w:tcPr>
          <w:p w14:paraId="3B7BC897" w14:textId="60A7F6F6" w:rsidR="00624170" w:rsidRPr="00F25DFF" w:rsidRDefault="00624170" w:rsidP="00DA7657">
            <w:pPr>
              <w:pStyle w:val="Table8ptText-ASDEFCON"/>
            </w:pPr>
            <w:r w:rsidRPr="003B4D5A">
              <w:t>L</w:t>
            </w:r>
            <w:r w:rsidR="00A72DB1" w:rsidRPr="008C70A0">
              <w:rPr>
                <w:vertAlign w:val="subscript"/>
              </w:rPr>
              <w:t>0</w:t>
            </w:r>
          </w:p>
        </w:tc>
        <w:tc>
          <w:tcPr>
            <w:tcW w:w="7201" w:type="dxa"/>
            <w:shd w:val="clear" w:color="auto" w:fill="auto"/>
          </w:tcPr>
          <w:p w14:paraId="16CB143C" w14:textId="51864993" w:rsidR="00624170" w:rsidRPr="00F25DFF" w:rsidRDefault="00AA5D17" w:rsidP="00D2582E">
            <w:pPr>
              <w:pStyle w:val="Table8ptText-ASDEFCON"/>
            </w:pPr>
            <w:r>
              <w:t xml:space="preserve">the </w:t>
            </w:r>
            <w:r w:rsidR="00624170" w:rsidRPr="008243B5">
              <w:t xml:space="preserve">labour </w:t>
            </w:r>
            <w:r w:rsidR="00624170" w:rsidRPr="00F25DFF">
              <w:t xml:space="preserve">index </w:t>
            </w:r>
            <w:r w:rsidR="000D5869">
              <w:t>value</w:t>
            </w:r>
            <w:r w:rsidR="000D5869" w:rsidRPr="00F25DFF">
              <w:t xml:space="preserve"> </w:t>
            </w:r>
            <w:r w:rsidR="00CE6570">
              <w:t xml:space="preserve">(number) </w:t>
            </w:r>
            <w:r>
              <w:t xml:space="preserve">for the period </w:t>
            </w:r>
            <w:r w:rsidR="00D2582E">
              <w:t xml:space="preserve">containing the previous Adjustment  Date </w:t>
            </w:r>
            <w:r>
              <w:t xml:space="preserve">or </w:t>
            </w:r>
            <w:r w:rsidR="000D5869" w:rsidRPr="00394F9F">
              <w:t>the Base Date</w:t>
            </w:r>
            <w:r>
              <w:t xml:space="preserve"> (for the first adjustment)</w:t>
            </w:r>
            <w:r w:rsidR="00624170">
              <w:t>.</w:t>
            </w:r>
          </w:p>
        </w:tc>
      </w:tr>
      <w:tr w:rsidR="00624170" w:rsidRPr="00F25DFF" w14:paraId="571EE1E0" w14:textId="77777777" w:rsidTr="008D55FE">
        <w:trPr>
          <w:cantSplit/>
        </w:trPr>
        <w:tc>
          <w:tcPr>
            <w:tcW w:w="709" w:type="dxa"/>
            <w:shd w:val="clear" w:color="auto" w:fill="auto"/>
          </w:tcPr>
          <w:p w14:paraId="6DA85FBB" w14:textId="125636E9" w:rsidR="00624170" w:rsidRPr="00F25DFF" w:rsidRDefault="00624170" w:rsidP="00DA7657">
            <w:pPr>
              <w:pStyle w:val="Table8ptText-ASDEFCON"/>
            </w:pPr>
            <w:r w:rsidRPr="00F25DFF">
              <w:t>Z</w:t>
            </w:r>
          </w:p>
        </w:tc>
        <w:tc>
          <w:tcPr>
            <w:tcW w:w="7201" w:type="dxa"/>
            <w:shd w:val="clear" w:color="auto" w:fill="auto"/>
          </w:tcPr>
          <w:p w14:paraId="6F6D81F1" w14:textId="1E6D014F" w:rsidR="00624170" w:rsidRPr="00F25DFF" w:rsidRDefault="0022134E" w:rsidP="00FC7276">
            <w:pPr>
              <w:pStyle w:val="Table8ptText-ASDEFCON"/>
            </w:pPr>
            <w:r>
              <w:t xml:space="preserve">the </w:t>
            </w:r>
            <w:r w:rsidR="00FC7276">
              <w:t xml:space="preserve">proportion </w:t>
            </w:r>
            <w:r w:rsidR="00624170" w:rsidRPr="008243B5">
              <w:t xml:space="preserve">(expressed as a decimal) </w:t>
            </w:r>
            <w:r w:rsidR="00FC7276">
              <w:t xml:space="preserve">of a price </w:t>
            </w:r>
            <w:r>
              <w:t xml:space="preserve">that is attributed to </w:t>
            </w:r>
            <w:r w:rsidR="000D5869" w:rsidRPr="00F25DFF">
              <w:t xml:space="preserve">materials </w:t>
            </w:r>
            <w:r>
              <w:t xml:space="preserve">and </w:t>
            </w:r>
            <w:r w:rsidR="00624170">
              <w:t xml:space="preserve">associated with a specific materials index (M) </w:t>
            </w:r>
            <w:r w:rsidR="00BD7A4F">
              <w:t xml:space="preserve">for a </w:t>
            </w:r>
            <w:r w:rsidR="00624170">
              <w:t>source currency.</w:t>
            </w:r>
          </w:p>
        </w:tc>
      </w:tr>
      <w:tr w:rsidR="00624170" w:rsidRPr="00F25DFF" w14:paraId="5762C7FB" w14:textId="77777777" w:rsidTr="008D55FE">
        <w:trPr>
          <w:cantSplit/>
        </w:trPr>
        <w:tc>
          <w:tcPr>
            <w:tcW w:w="709" w:type="dxa"/>
            <w:shd w:val="clear" w:color="auto" w:fill="auto"/>
          </w:tcPr>
          <w:p w14:paraId="56CC3ACC" w14:textId="50AE8FA4" w:rsidR="00624170" w:rsidRPr="00F25DFF" w:rsidRDefault="00624170" w:rsidP="00DA7657">
            <w:pPr>
              <w:pStyle w:val="Table8ptText-ASDEFCON"/>
            </w:pPr>
            <w:r w:rsidRPr="008243B5">
              <w:t>M</w:t>
            </w:r>
            <w:r w:rsidR="007F70CF">
              <w:rPr>
                <w:vertAlign w:val="subscript"/>
              </w:rPr>
              <w:t>1</w:t>
            </w:r>
          </w:p>
        </w:tc>
        <w:tc>
          <w:tcPr>
            <w:tcW w:w="7201" w:type="dxa"/>
            <w:shd w:val="clear" w:color="auto" w:fill="auto"/>
          </w:tcPr>
          <w:p w14:paraId="72D7AF08" w14:textId="2DFF4C5F" w:rsidR="00624170" w:rsidRPr="00720D4B" w:rsidRDefault="00624170" w:rsidP="00DA7657">
            <w:pPr>
              <w:pStyle w:val="Table8ptText-ASDEFCON"/>
            </w:pPr>
            <w:r>
              <w:t xml:space="preserve">the </w:t>
            </w:r>
            <w:r w:rsidRPr="008243B5">
              <w:t>materials index</w:t>
            </w:r>
            <w:r w:rsidR="0022134E">
              <w:t xml:space="preserve"> value (n</w:t>
            </w:r>
            <w:r w:rsidRPr="008243B5">
              <w:t>umber</w:t>
            </w:r>
            <w:r w:rsidR="0022134E">
              <w:t>)</w:t>
            </w:r>
            <w:r w:rsidR="00877A9C">
              <w:t xml:space="preserve"> for the new pricing period,</w:t>
            </w:r>
            <w:r w:rsidRPr="008243B5">
              <w:t xml:space="preserve"> </w:t>
            </w:r>
            <w:r w:rsidR="00877A9C">
              <w:t>for</w:t>
            </w:r>
            <w:r>
              <w:t xml:space="preserve"> a particular source currency</w:t>
            </w:r>
            <w:r w:rsidR="00877A9C">
              <w:t>.</w:t>
            </w:r>
          </w:p>
        </w:tc>
      </w:tr>
      <w:tr w:rsidR="00624170" w:rsidRPr="00F25DFF" w14:paraId="2168CF38" w14:textId="77777777" w:rsidTr="008D55FE">
        <w:trPr>
          <w:cantSplit/>
        </w:trPr>
        <w:tc>
          <w:tcPr>
            <w:tcW w:w="709" w:type="dxa"/>
            <w:shd w:val="clear" w:color="auto" w:fill="auto"/>
          </w:tcPr>
          <w:p w14:paraId="039ECE9D" w14:textId="2EE71194" w:rsidR="00624170" w:rsidRPr="00F25DFF" w:rsidRDefault="00624170" w:rsidP="00DA7657">
            <w:pPr>
              <w:pStyle w:val="Table8ptText-ASDEFCON"/>
            </w:pPr>
            <w:r w:rsidRPr="008243B5">
              <w:t>M</w:t>
            </w:r>
            <w:r w:rsidR="00A72DB1">
              <w:rPr>
                <w:vertAlign w:val="subscript"/>
              </w:rPr>
              <w:t>0</w:t>
            </w:r>
          </w:p>
        </w:tc>
        <w:tc>
          <w:tcPr>
            <w:tcW w:w="7201" w:type="dxa"/>
            <w:shd w:val="clear" w:color="auto" w:fill="auto"/>
          </w:tcPr>
          <w:p w14:paraId="7E691C1F" w14:textId="0A8CA5F4" w:rsidR="00624170" w:rsidRPr="00F25DFF" w:rsidRDefault="00624170" w:rsidP="00BD7A4F">
            <w:pPr>
              <w:pStyle w:val="Table8ptText-ASDEFCON"/>
            </w:pPr>
            <w:r w:rsidRPr="008243B5">
              <w:t xml:space="preserve">materials index </w:t>
            </w:r>
            <w:r w:rsidR="000D5869">
              <w:t xml:space="preserve">value </w:t>
            </w:r>
            <w:r w:rsidR="00CE6570">
              <w:t xml:space="preserve">(number) </w:t>
            </w:r>
            <w:r w:rsidR="00C14CFF">
              <w:t xml:space="preserve">for the period </w:t>
            </w:r>
            <w:r w:rsidR="00BD7A4F">
              <w:t xml:space="preserve">containing the previous Adjustment  Date </w:t>
            </w:r>
            <w:r w:rsidR="00C14CFF">
              <w:t>or the Base Date (for the first adjustment)</w:t>
            </w:r>
            <w:r>
              <w:t>.</w:t>
            </w:r>
          </w:p>
        </w:tc>
      </w:tr>
    </w:tbl>
    <w:p w14:paraId="69F04ADD" w14:textId="356FB599" w:rsidR="00624170" w:rsidRDefault="00624170" w:rsidP="00DA7657">
      <w:pPr>
        <w:pStyle w:val="ASDEFCONOptionSpace"/>
      </w:pPr>
    </w:p>
    <w:p w14:paraId="19967FBB" w14:textId="346439C4" w:rsidR="008C70A0" w:rsidRPr="009D2EF7" w:rsidRDefault="008C70A0" w:rsidP="00624170">
      <w:pPr>
        <w:pStyle w:val="COTCOCLV3-ASDEFCON"/>
        <w:numPr>
          <w:ilvl w:val="0"/>
          <w:numId w:val="0"/>
        </w:numPr>
        <w:ind w:left="851"/>
      </w:pPr>
      <w:r>
        <w:t>and</w:t>
      </w:r>
      <w:r w:rsidR="00550D10">
        <w:t xml:space="preserve"> </w:t>
      </w:r>
      <w:r w:rsidR="00FF2121">
        <w:t xml:space="preserve">where, </w:t>
      </w:r>
      <w:r w:rsidR="00550D10">
        <w:t xml:space="preserve">for </w:t>
      </w:r>
      <w:r w:rsidR="00FF2121">
        <w:t>each</w:t>
      </w:r>
      <w:r w:rsidR="00550D10">
        <w:t xml:space="preserve"> price (P</w:t>
      </w:r>
      <w:r w:rsidR="00550D10" w:rsidRPr="00550D10">
        <w:rPr>
          <w:vertAlign w:val="subscript"/>
        </w:rPr>
        <w:t>0</w:t>
      </w:r>
      <w:r w:rsidR="00550D10">
        <w:t>)</w:t>
      </w:r>
      <w:r w:rsidR="00FF2121">
        <w:t>, the sum of the components attributed to labour and materials equals one (ie,</w:t>
      </w:r>
      <w:r>
        <w:t xml:space="preserve"> Y + Z = 1</w:t>
      </w:r>
      <w:r w:rsidR="00FF2121">
        <w:t>)</w:t>
      </w:r>
      <w:r>
        <w:t>.</w:t>
      </w:r>
    </w:p>
    <w:p w14:paraId="701C2380" w14:textId="77777777" w:rsidR="00684FFA" w:rsidRDefault="00684FFA" w:rsidP="00BE773E">
      <w:pPr>
        <w:pStyle w:val="ASDEFCONOption"/>
      </w:pPr>
    </w:p>
    <w:p w14:paraId="3E181789" w14:textId="45BA0F3D" w:rsidR="00684FFA" w:rsidRDefault="00684FFA" w:rsidP="00BE773E">
      <w:pPr>
        <w:pStyle w:val="ASDEFCONOption"/>
      </w:pPr>
      <w:r>
        <w:t>Option B:</w:t>
      </w:r>
      <w:r w:rsidR="0069236D">
        <w:t xml:space="preserve">  For use when more than </w:t>
      </w:r>
      <w:r w:rsidR="00C775DB">
        <w:t xml:space="preserve">two indices, for </w:t>
      </w:r>
      <w:r>
        <w:t>labour and</w:t>
      </w:r>
      <w:r w:rsidR="00C775DB">
        <w:t>/or</w:t>
      </w:r>
      <w:r>
        <w:t xml:space="preserve"> materials, </w:t>
      </w:r>
      <w:r w:rsidR="0069236D">
        <w:t>with</w:t>
      </w:r>
      <w:r>
        <w:t xml:space="preserve"> corresponding component weightings, may be applied to </w:t>
      </w:r>
      <w:r w:rsidR="0069236D">
        <w:t xml:space="preserve">a </w:t>
      </w:r>
      <w:r w:rsidR="00C775DB">
        <w:t xml:space="preserve">price </w:t>
      </w:r>
      <w:r w:rsidR="0069236D">
        <w:t xml:space="preserve">or </w:t>
      </w:r>
      <w:r>
        <w:t>set of prices.</w:t>
      </w:r>
    </w:p>
    <w:p w14:paraId="5007ED8B" w14:textId="26C57CDC" w:rsidR="00A72DB1" w:rsidRDefault="007B78E8" w:rsidP="00DA7657">
      <w:pPr>
        <w:pStyle w:val="ASDEFCONNormal"/>
        <w:rPr>
          <w:lang w:val="en-GB"/>
        </w:rPr>
      </w:pPr>
      <m:oMathPara>
        <m:oMath>
          <m:sSub>
            <m:sSubPr>
              <m:ctrlPr>
                <w:rPr>
                  <w:rFonts w:ascii="Cambria Math" w:eastAsiaTheme="minorEastAsia" w:hAnsi="Cambria Math"/>
                </w:rPr>
              </m:ctrlPr>
            </m:sSubPr>
            <m:e>
              <m:r>
                <w:rPr>
                  <w:rFonts w:ascii="Cambria Math" w:eastAsiaTheme="minorEastAsia" w:hAnsi="Cambria Math"/>
                </w:rPr>
                <m:t>P</m:t>
              </m:r>
            </m:e>
            <m:sub>
              <m:r>
                <w:rPr>
                  <w:rFonts w:ascii="Cambria Math" w:eastAsiaTheme="minorEastAsia" w:hAnsi="Cambria Math"/>
                </w:rPr>
                <m:t>n</m:t>
              </m:r>
            </m:sub>
          </m:sSub>
          <m:r>
            <m:rPr>
              <m:sty m:val="p"/>
            </m:rPr>
            <w:rPr>
              <w:rFonts w:ascii="Cambria Math" w:eastAsiaTheme="minorEastAsia" w:hAnsi="Cambria Math"/>
            </w:rPr>
            <m:t>=</m:t>
          </m:r>
          <m:d>
            <m:dPr>
              <m:ctrlPr>
                <w:rPr>
                  <w:rFonts w:ascii="Cambria Math" w:eastAsiaTheme="minorEastAsia" w:hAnsi="Cambria Math"/>
                </w:rPr>
              </m:ctrlPr>
            </m:dPr>
            <m:e>
              <m:nary>
                <m:naryPr>
                  <m:chr m:val="∑"/>
                  <m:limLoc m:val="undOvr"/>
                  <m:ctrlPr>
                    <w:rPr>
                      <w:rFonts w:ascii="Cambria Math" w:eastAsiaTheme="minorEastAsia" w:hAnsi="Cambria Math"/>
                    </w:rPr>
                  </m:ctrlPr>
                </m:naryPr>
                <m:sub>
                  <m:r>
                    <w:rPr>
                      <w:rFonts w:ascii="Cambria Math" w:eastAsiaTheme="minorEastAsia" w:hAnsi="Cambria Math"/>
                    </w:rPr>
                    <m:t>i</m:t>
                  </m:r>
                  <m:r>
                    <m:rPr>
                      <m:sty m:val="p"/>
                    </m:rPr>
                    <w:rPr>
                      <w:rFonts w:ascii="Cambria Math" w:eastAsiaTheme="minorEastAsia" w:hAnsi="Cambria Math"/>
                    </w:rPr>
                    <m:t>=1</m:t>
                  </m:r>
                </m:sub>
                <m:sup>
                  <m:r>
                    <w:rPr>
                      <w:rFonts w:ascii="Cambria Math" w:eastAsiaTheme="minorEastAsia" w:hAnsi="Cambria Math"/>
                    </w:rPr>
                    <m:t>q</m:t>
                  </m:r>
                </m:sup>
                <m:e>
                  <m:d>
                    <m:dPr>
                      <m:ctrlPr>
                        <w:rPr>
                          <w:rFonts w:ascii="Cambria Math" w:eastAsiaTheme="minorEastAsia" w:hAnsi="Cambria Math"/>
                        </w:rPr>
                      </m:ctrlPr>
                    </m:dPr>
                    <m:e>
                      <m:sSub>
                        <m:sSubPr>
                          <m:ctrlPr>
                            <w:rPr>
                              <w:rFonts w:ascii="Cambria Math" w:eastAsiaTheme="minorEastAsia" w:hAnsi="Cambria Math"/>
                            </w:rPr>
                          </m:ctrlPr>
                        </m:sSubPr>
                        <m:e>
                          <m:r>
                            <w:rPr>
                              <w:rFonts w:ascii="Cambria Math" w:eastAsiaTheme="minorEastAsia" w:hAnsi="Cambria Math"/>
                            </w:rPr>
                            <m:t>Y</m:t>
                          </m:r>
                        </m:e>
                        <m:sub>
                          <m:r>
                            <w:rPr>
                              <w:rFonts w:ascii="Cambria Math" w:eastAsiaTheme="minorEastAsia" w:hAnsi="Cambria Math"/>
                            </w:rPr>
                            <m:t>i</m:t>
                          </m:r>
                        </m:sub>
                      </m:sSub>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rPr>
                              </m:ctrlPr>
                            </m:sSubPr>
                            <m:e>
                              <m:r>
                                <w:rPr>
                                  <w:rFonts w:ascii="Cambria Math" w:eastAsiaTheme="minorEastAsia" w:hAnsi="Cambria Math"/>
                                </w:rPr>
                                <m:t>L</m:t>
                              </m:r>
                            </m:e>
                            <m:sub>
                              <m:r>
                                <w:rPr>
                                  <w:rFonts w:ascii="Cambria Math" w:eastAsiaTheme="minorEastAsia" w:hAnsi="Cambria Math"/>
                                </w:rPr>
                                <m:t>n</m:t>
                              </m:r>
                            </m:sub>
                          </m:sSub>
                        </m:num>
                        <m:den>
                          <m:sSub>
                            <m:sSubPr>
                              <m:ctrlPr>
                                <w:rPr>
                                  <w:rFonts w:ascii="Cambria Math" w:eastAsiaTheme="minorEastAsia" w:hAnsi="Cambria Math"/>
                                </w:rPr>
                              </m:ctrlPr>
                            </m:sSubPr>
                            <m:e>
                              <m:r>
                                <w:rPr>
                                  <w:rFonts w:ascii="Cambria Math" w:eastAsiaTheme="minorEastAsia" w:hAnsi="Cambria Math"/>
                                </w:rPr>
                                <m:t>L</m:t>
                              </m:r>
                            </m:e>
                            <m:sub>
                              <m:r>
                                <m:rPr>
                                  <m:sty m:val="p"/>
                                </m:rPr>
                                <w:rPr>
                                  <w:rFonts w:ascii="Cambria Math" w:eastAsiaTheme="minorEastAsia" w:hAnsi="Cambria Math"/>
                                </w:rPr>
                                <m:t>0</m:t>
                              </m:r>
                            </m:sub>
                          </m:sSub>
                        </m:den>
                      </m:f>
                    </m:e>
                  </m:d>
                  <m:r>
                    <m:rPr>
                      <m:sty m:val="p"/>
                    </m:rPr>
                    <w:rPr>
                      <w:rFonts w:ascii="Cambria Math" w:eastAsiaTheme="minorEastAsia" w:hAnsi="Cambria Math"/>
                    </w:rPr>
                    <m:t>+</m:t>
                  </m:r>
                  <m:nary>
                    <m:naryPr>
                      <m:chr m:val="∑"/>
                      <m:limLoc m:val="undOvr"/>
                      <m:ctrlPr>
                        <w:rPr>
                          <w:rFonts w:ascii="Cambria Math" w:eastAsiaTheme="minorEastAsia" w:hAnsi="Cambria Math"/>
                        </w:rPr>
                      </m:ctrlPr>
                    </m:naryPr>
                    <m:sub>
                      <m:r>
                        <w:rPr>
                          <w:rFonts w:ascii="Cambria Math" w:eastAsiaTheme="minorEastAsia" w:hAnsi="Cambria Math"/>
                        </w:rPr>
                        <m:t>k</m:t>
                      </m:r>
                      <m:r>
                        <m:rPr>
                          <m:sty m:val="p"/>
                        </m:rPr>
                        <w:rPr>
                          <w:rFonts w:ascii="Cambria Math" w:eastAsiaTheme="minorEastAsia" w:hAnsi="Cambria Math"/>
                        </w:rPr>
                        <m:t>=1</m:t>
                      </m:r>
                    </m:sub>
                    <m:sup>
                      <m:r>
                        <w:rPr>
                          <w:rFonts w:ascii="Cambria Math" w:eastAsiaTheme="minorEastAsia" w:hAnsi="Cambria Math"/>
                        </w:rPr>
                        <m:t>r</m:t>
                      </m:r>
                    </m:sup>
                    <m:e>
                      <m:d>
                        <m:dPr>
                          <m:ctrlPr>
                            <w:rPr>
                              <w:rFonts w:ascii="Cambria Math" w:eastAsiaTheme="minorEastAsia" w:hAnsi="Cambria Math"/>
                            </w:rPr>
                          </m:ctrlPr>
                        </m:dPr>
                        <m:e>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k</m:t>
                              </m:r>
                            </m:sub>
                          </m:sSub>
                          <m:r>
                            <m:rPr>
                              <m:sty m:val="p"/>
                            </m:rPr>
                            <w:rPr>
                              <w:rFonts w:ascii="Cambria Math" w:eastAsiaTheme="minorEastAsia" w:hAnsi="Cambria Math"/>
                            </w:rPr>
                            <m:t>*</m:t>
                          </m:r>
                          <m:f>
                            <m:fPr>
                              <m:ctrlPr>
                                <w:rPr>
                                  <w:rFonts w:ascii="Cambria Math" w:eastAsiaTheme="minorEastAsia" w:hAnsi="Cambria Math"/>
                                </w:rPr>
                              </m:ctrlPr>
                            </m:fPr>
                            <m:num>
                              <m:sSub>
                                <m:sSubPr>
                                  <m:ctrlPr>
                                    <w:rPr>
                                      <w:rFonts w:ascii="Cambria Math" w:eastAsiaTheme="minorEastAsia" w:hAnsi="Cambria Math"/>
                                    </w:rPr>
                                  </m:ctrlPr>
                                </m:sSubPr>
                                <m:e>
                                  <m:r>
                                    <w:rPr>
                                      <w:rFonts w:ascii="Cambria Math" w:eastAsiaTheme="minorEastAsia" w:hAnsi="Cambria Math"/>
                                    </w:rPr>
                                    <m:t>M</m:t>
                                  </m:r>
                                </m:e>
                                <m:sub>
                                  <m:r>
                                    <w:rPr>
                                      <w:rFonts w:ascii="Cambria Math" w:eastAsiaTheme="minorEastAsia" w:hAnsi="Cambria Math"/>
                                    </w:rPr>
                                    <m:t>n</m:t>
                                  </m:r>
                                </m:sub>
                              </m:sSub>
                            </m:num>
                            <m:den>
                              <m:sSub>
                                <m:sSubPr>
                                  <m:ctrlPr>
                                    <w:rPr>
                                      <w:rFonts w:ascii="Cambria Math" w:eastAsiaTheme="minorEastAsia" w:hAnsi="Cambria Math"/>
                                    </w:rPr>
                                  </m:ctrlPr>
                                </m:sSubPr>
                                <m:e>
                                  <m:r>
                                    <w:rPr>
                                      <w:rFonts w:ascii="Cambria Math" w:eastAsiaTheme="minorEastAsia" w:hAnsi="Cambria Math"/>
                                    </w:rPr>
                                    <m:t>M</m:t>
                                  </m:r>
                                </m:e>
                                <m:sub>
                                  <m:r>
                                    <m:rPr>
                                      <m:sty m:val="p"/>
                                    </m:rPr>
                                    <w:rPr>
                                      <w:rFonts w:ascii="Cambria Math" w:eastAsiaTheme="minorEastAsia" w:hAnsi="Cambria Math"/>
                                    </w:rPr>
                                    <m:t>0</m:t>
                                  </m:r>
                                </m:sub>
                              </m:sSub>
                            </m:den>
                          </m:f>
                        </m:e>
                      </m:d>
                    </m:e>
                  </m:nary>
                </m:e>
              </m:nary>
            </m:e>
          </m:d>
          <m:r>
            <m:rPr>
              <m:sty m:val="p"/>
            </m:rPr>
            <w:rPr>
              <w:rFonts w:ascii="Cambria Math" w:eastAsiaTheme="minorEastAsia" w:hAnsi="Cambria Math"/>
            </w:rPr>
            <m:t>*</m:t>
          </m:r>
          <m:sSub>
            <m:sSubPr>
              <m:ctrlPr>
                <w:rPr>
                  <w:rFonts w:ascii="Cambria Math" w:eastAsiaTheme="minorEastAsia" w:hAnsi="Cambria Math"/>
                </w:rPr>
              </m:ctrlPr>
            </m:sSubPr>
            <m:e>
              <m:r>
                <w:rPr>
                  <w:rFonts w:ascii="Cambria Math" w:eastAsiaTheme="minorEastAsia" w:hAnsi="Cambria Math"/>
                </w:rPr>
                <m:t>P</m:t>
              </m:r>
            </m:e>
            <m:sub>
              <m:r>
                <m:rPr>
                  <m:sty m:val="p"/>
                </m:rPr>
                <w:rPr>
                  <w:rFonts w:ascii="Cambria Math" w:eastAsiaTheme="minorEastAsia" w:hAnsi="Cambria Math"/>
                </w:rPr>
                <m:t>0</m:t>
              </m:r>
            </m:sub>
          </m:sSub>
        </m:oMath>
      </m:oMathPara>
    </w:p>
    <w:p w14:paraId="6FA0435A" w14:textId="1AC5075B" w:rsidR="0088533F" w:rsidRDefault="0088533F" w:rsidP="00DA7657">
      <w:pPr>
        <w:pStyle w:val="COTCOCLV3NONUM-ASDEFCON"/>
      </w:pPr>
      <w:r>
        <w:t>where:</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01"/>
      </w:tblGrid>
      <w:tr w:rsidR="004E0AB8" w:rsidRPr="00F25DFF" w14:paraId="7FCE549D" w14:textId="77777777" w:rsidTr="00777615">
        <w:trPr>
          <w:cantSplit/>
        </w:trPr>
        <w:tc>
          <w:tcPr>
            <w:tcW w:w="709" w:type="dxa"/>
            <w:shd w:val="clear" w:color="auto" w:fill="auto"/>
          </w:tcPr>
          <w:p w14:paraId="7AE24CD9" w14:textId="77777777" w:rsidR="004E0AB8" w:rsidRPr="00F25DFF" w:rsidRDefault="004E0AB8" w:rsidP="00DA7657">
            <w:pPr>
              <w:pStyle w:val="Table8ptHeading-ASDEFCON"/>
            </w:pPr>
            <w:r w:rsidRPr="00F25DFF">
              <w:t>Ref</w:t>
            </w:r>
          </w:p>
        </w:tc>
        <w:tc>
          <w:tcPr>
            <w:tcW w:w="7201" w:type="dxa"/>
            <w:shd w:val="clear" w:color="auto" w:fill="auto"/>
          </w:tcPr>
          <w:p w14:paraId="56AB2C46" w14:textId="77777777" w:rsidR="004E0AB8" w:rsidRPr="00F25DFF" w:rsidRDefault="004E0AB8" w:rsidP="00DA7657">
            <w:pPr>
              <w:pStyle w:val="Table8ptHeading-ASDEFCON"/>
            </w:pPr>
            <w:r w:rsidRPr="00F25DFF">
              <w:t>Description</w:t>
            </w:r>
          </w:p>
        </w:tc>
      </w:tr>
      <w:tr w:rsidR="004E0AB8" w:rsidRPr="003B4D5A" w14:paraId="1F7F679A" w14:textId="77777777" w:rsidTr="00777615">
        <w:trPr>
          <w:cantSplit/>
        </w:trPr>
        <w:tc>
          <w:tcPr>
            <w:tcW w:w="709" w:type="dxa"/>
            <w:shd w:val="clear" w:color="auto" w:fill="auto"/>
          </w:tcPr>
          <w:p w14:paraId="29910D69" w14:textId="03BDA38C" w:rsidR="004E0AB8" w:rsidRPr="00F25DFF" w:rsidRDefault="004E0AB8" w:rsidP="00DA7657">
            <w:pPr>
              <w:pStyle w:val="Table8ptText-ASDEFCON"/>
            </w:pPr>
            <w:r w:rsidRPr="00F25DFF">
              <w:t>P</w:t>
            </w:r>
            <w:r w:rsidR="00550D10" w:rsidRPr="00550D10">
              <w:rPr>
                <w:vertAlign w:val="subscript"/>
              </w:rPr>
              <w:t>n</w:t>
            </w:r>
          </w:p>
        </w:tc>
        <w:tc>
          <w:tcPr>
            <w:tcW w:w="7201" w:type="dxa"/>
            <w:shd w:val="clear" w:color="auto" w:fill="auto"/>
          </w:tcPr>
          <w:p w14:paraId="3CBC5115" w14:textId="003B97A1" w:rsidR="004E0AB8" w:rsidRPr="00F25DFF" w:rsidRDefault="00550D10" w:rsidP="00DA7657">
            <w:pPr>
              <w:pStyle w:val="Table8ptText-ASDEFCON"/>
            </w:pPr>
            <w:r>
              <w:t xml:space="preserve">the new (ie, </w:t>
            </w:r>
            <w:r w:rsidR="004E0AB8">
              <w:t>adjusted</w:t>
            </w:r>
            <w:r>
              <w:t>)</w:t>
            </w:r>
            <w:r w:rsidR="004E0AB8">
              <w:t xml:space="preserve"> price</w:t>
            </w:r>
            <w:r w:rsidR="00684FFA">
              <w:t>,</w:t>
            </w:r>
            <w:r w:rsidR="0069236D">
              <w:t xml:space="preserve"> in</w:t>
            </w:r>
            <w:r w:rsidR="00684FFA">
              <w:t xml:space="preserve"> </w:t>
            </w:r>
            <w:r w:rsidR="004E0AB8">
              <w:t>a particular source currency.</w:t>
            </w:r>
          </w:p>
        </w:tc>
      </w:tr>
      <w:tr w:rsidR="004E0AB8" w:rsidRPr="003B4D5A" w14:paraId="30EFBCC4" w14:textId="77777777" w:rsidTr="00777615">
        <w:trPr>
          <w:cantSplit/>
        </w:trPr>
        <w:tc>
          <w:tcPr>
            <w:tcW w:w="709" w:type="dxa"/>
            <w:shd w:val="clear" w:color="auto" w:fill="auto"/>
          </w:tcPr>
          <w:p w14:paraId="75B631AB" w14:textId="187CC84F" w:rsidR="004E0AB8" w:rsidRPr="003B4D5A" w:rsidRDefault="004E0AB8" w:rsidP="00DA7657">
            <w:pPr>
              <w:pStyle w:val="Table8ptText-ASDEFCON"/>
            </w:pPr>
            <w:r w:rsidRPr="003B4D5A">
              <w:t>P</w:t>
            </w:r>
            <w:r w:rsidR="00684FFA" w:rsidRPr="00BE773E">
              <w:rPr>
                <w:vertAlign w:val="subscript"/>
              </w:rPr>
              <w:t>0</w:t>
            </w:r>
          </w:p>
        </w:tc>
        <w:tc>
          <w:tcPr>
            <w:tcW w:w="7201" w:type="dxa"/>
            <w:shd w:val="clear" w:color="auto" w:fill="auto"/>
          </w:tcPr>
          <w:p w14:paraId="699C6C32" w14:textId="59CBCAAE" w:rsidR="004E0AB8" w:rsidRPr="003B4D5A" w:rsidRDefault="004E0AB8" w:rsidP="00C775DB">
            <w:pPr>
              <w:pStyle w:val="Table8ptText-ASDEFCON"/>
            </w:pPr>
            <w:r>
              <w:t xml:space="preserve">the </w:t>
            </w:r>
            <w:r w:rsidR="00550D10">
              <w:t xml:space="preserve">baseline </w:t>
            </w:r>
            <w:r>
              <w:t xml:space="preserve">price </w:t>
            </w:r>
            <w:r w:rsidR="00550D10">
              <w:t>in a particular source currency, being either</w:t>
            </w:r>
            <w:r w:rsidR="00A35146">
              <w:t xml:space="preserve"> the amount</w:t>
            </w:r>
            <w:r w:rsidR="00550D10">
              <w:t xml:space="preserve"> </w:t>
            </w:r>
            <w:r w:rsidR="00F32C46">
              <w:t xml:space="preserve">for the previous period or </w:t>
            </w:r>
            <w:r w:rsidR="00A35146">
              <w:t>the Base Date (</w:t>
            </w:r>
            <w:r w:rsidR="00F32C46">
              <w:t>for the first adjustment</w:t>
            </w:r>
            <w:r w:rsidR="00A35146">
              <w:t>)</w:t>
            </w:r>
            <w:r>
              <w:t>.</w:t>
            </w:r>
          </w:p>
        </w:tc>
      </w:tr>
      <w:tr w:rsidR="004E0AB8" w:rsidRPr="00F25DFF" w14:paraId="5B62FC12" w14:textId="77777777" w:rsidTr="00777615">
        <w:trPr>
          <w:cantSplit/>
        </w:trPr>
        <w:tc>
          <w:tcPr>
            <w:tcW w:w="709" w:type="dxa"/>
            <w:shd w:val="clear" w:color="auto" w:fill="auto"/>
          </w:tcPr>
          <w:p w14:paraId="26E5131F" w14:textId="77777777" w:rsidR="004E0AB8" w:rsidRPr="003B4D5A" w:rsidRDefault="004E0AB8" w:rsidP="00DA7657">
            <w:pPr>
              <w:pStyle w:val="Table8ptText-ASDEFCON"/>
            </w:pPr>
            <w:r w:rsidRPr="003B4D5A">
              <w:t>Y</w:t>
            </w:r>
            <w:r w:rsidRPr="00402291">
              <w:rPr>
                <w:vertAlign w:val="subscript"/>
              </w:rPr>
              <w:t>i</w:t>
            </w:r>
          </w:p>
        </w:tc>
        <w:tc>
          <w:tcPr>
            <w:tcW w:w="7201" w:type="dxa"/>
            <w:shd w:val="clear" w:color="auto" w:fill="auto"/>
          </w:tcPr>
          <w:p w14:paraId="3D1B4CED" w14:textId="2B1EAADB" w:rsidR="004E0AB8" w:rsidRPr="00F25DFF" w:rsidRDefault="00AB48C2" w:rsidP="00B20A91">
            <w:pPr>
              <w:pStyle w:val="Table8ptText-ASDEFCON"/>
            </w:pPr>
            <w:r>
              <w:t>the</w:t>
            </w:r>
            <w:r w:rsidR="00CD4FFA">
              <w:t xml:space="preserve"> </w:t>
            </w:r>
            <w:r w:rsidR="004E0AB8" w:rsidRPr="003B4D5A">
              <w:t xml:space="preserve">component </w:t>
            </w:r>
            <w:r w:rsidR="00FC7276">
              <w:t xml:space="preserve">or </w:t>
            </w:r>
            <w:r w:rsidR="00890ED0">
              <w:t>weighting</w:t>
            </w:r>
            <w:r w:rsidR="00DA4B75">
              <w:t xml:space="preserve"> </w:t>
            </w:r>
            <w:r w:rsidR="004E0AB8" w:rsidRPr="003B4D5A">
              <w:t>(expressed as a decimal)</w:t>
            </w:r>
            <w:r w:rsidR="004E0AB8" w:rsidRPr="008243B5">
              <w:t xml:space="preserve"> </w:t>
            </w:r>
            <w:r w:rsidR="0069236D">
              <w:t>that is attributed to</w:t>
            </w:r>
            <w:r w:rsidR="00CD4FFA">
              <w:t xml:space="preserve"> a </w:t>
            </w:r>
            <w:r w:rsidR="0069236D">
              <w:t>labour</w:t>
            </w:r>
            <w:r w:rsidR="00654DAB">
              <w:t xml:space="preserve"> index (L</w:t>
            </w:r>
            <w:r w:rsidR="00654DAB" w:rsidRPr="00E538C0">
              <w:rPr>
                <w:vertAlign w:val="subscript"/>
              </w:rPr>
              <w:t>i</w:t>
            </w:r>
            <w:r w:rsidR="00654DAB">
              <w:t xml:space="preserve">), where the labour index </w:t>
            </w:r>
            <w:r w:rsidR="007548E4">
              <w:t>tracks price variations for</w:t>
            </w:r>
            <w:r w:rsidR="00654DAB">
              <w:t xml:space="preserve"> a labour</w:t>
            </w:r>
            <w:r w:rsidR="0069236D">
              <w:t xml:space="preserve"> </w:t>
            </w:r>
            <w:r w:rsidR="00CD4FFA">
              <w:t xml:space="preserve">category </w:t>
            </w:r>
            <w:r w:rsidR="00654DAB">
              <w:t xml:space="preserve">in a </w:t>
            </w:r>
            <w:r w:rsidR="00CD4FFA">
              <w:t>currency</w:t>
            </w:r>
            <w:r w:rsidR="00AF6A88">
              <w:t>.</w:t>
            </w:r>
          </w:p>
        </w:tc>
      </w:tr>
      <w:tr w:rsidR="004E0AB8" w:rsidRPr="003B4D5A" w14:paraId="3084F5B2" w14:textId="77777777" w:rsidTr="00777615">
        <w:trPr>
          <w:cantSplit/>
        </w:trPr>
        <w:tc>
          <w:tcPr>
            <w:tcW w:w="709" w:type="dxa"/>
            <w:shd w:val="clear" w:color="auto" w:fill="auto"/>
          </w:tcPr>
          <w:p w14:paraId="7F6D2A22" w14:textId="35430636" w:rsidR="004E0AB8" w:rsidRPr="00F25DFF" w:rsidRDefault="004E0AB8" w:rsidP="00DA7657">
            <w:pPr>
              <w:pStyle w:val="Table8ptText-ASDEFCON"/>
            </w:pPr>
            <w:r w:rsidRPr="00F25DFF">
              <w:t>L</w:t>
            </w:r>
            <w:r w:rsidR="00EE7191">
              <w:rPr>
                <w:vertAlign w:val="subscript"/>
              </w:rPr>
              <w:t>n</w:t>
            </w:r>
          </w:p>
        </w:tc>
        <w:tc>
          <w:tcPr>
            <w:tcW w:w="7201" w:type="dxa"/>
            <w:shd w:val="clear" w:color="auto" w:fill="auto"/>
          </w:tcPr>
          <w:p w14:paraId="302903D6" w14:textId="6F3C304F" w:rsidR="00D05C1F" w:rsidRPr="00F25DFF" w:rsidRDefault="004D60E8" w:rsidP="0032079E">
            <w:pPr>
              <w:pStyle w:val="Table8ptText-ASDEFCON"/>
            </w:pPr>
            <w:r>
              <w:t>a</w:t>
            </w:r>
            <w:r w:rsidR="00D05C1F">
              <w:t xml:space="preserve"> published value (number) for a</w:t>
            </w:r>
            <w:r>
              <w:t xml:space="preserve"> specific</w:t>
            </w:r>
            <w:r w:rsidR="00D05C1F">
              <w:t xml:space="preserve"> labour index (L</w:t>
            </w:r>
            <w:r w:rsidR="00D05C1F" w:rsidRPr="00E538C0">
              <w:rPr>
                <w:vertAlign w:val="subscript"/>
              </w:rPr>
              <w:t>i</w:t>
            </w:r>
            <w:r w:rsidR="00D05C1F">
              <w:t>) in the new pricing period</w:t>
            </w:r>
            <w:r w:rsidR="00A94FD3">
              <w:t xml:space="preserve"> (ie, in the new </w:t>
            </w:r>
            <w:r w:rsidR="0008737B">
              <w:t xml:space="preserve">pricing </w:t>
            </w:r>
            <w:r w:rsidR="00A94FD3">
              <w:t>period the value for the index L</w:t>
            </w:r>
            <w:r w:rsidR="00A94FD3" w:rsidRPr="00D8036E">
              <w:rPr>
                <w:vertAlign w:val="subscript"/>
              </w:rPr>
              <w:t>i</w:t>
            </w:r>
            <w:r w:rsidR="00A94FD3">
              <w:t xml:space="preserve"> is L</w:t>
            </w:r>
            <w:r w:rsidR="00A94FD3" w:rsidRPr="00D8036E">
              <w:rPr>
                <w:vertAlign w:val="subscript"/>
              </w:rPr>
              <w:t>n</w:t>
            </w:r>
            <w:r w:rsidR="00A94FD3">
              <w:t>).</w:t>
            </w:r>
          </w:p>
        </w:tc>
      </w:tr>
      <w:tr w:rsidR="004E0AB8" w:rsidRPr="00F25DFF" w14:paraId="1853CDB6" w14:textId="77777777" w:rsidTr="00777615">
        <w:trPr>
          <w:cantSplit/>
        </w:trPr>
        <w:tc>
          <w:tcPr>
            <w:tcW w:w="709" w:type="dxa"/>
            <w:shd w:val="clear" w:color="auto" w:fill="auto"/>
          </w:tcPr>
          <w:p w14:paraId="77D2760B" w14:textId="6B34CB4F" w:rsidR="004E0AB8" w:rsidRPr="00F25DFF" w:rsidRDefault="004E0AB8" w:rsidP="00DA7657">
            <w:pPr>
              <w:pStyle w:val="Table8ptText-ASDEFCON"/>
            </w:pPr>
            <w:r w:rsidRPr="003B4D5A">
              <w:t>L</w:t>
            </w:r>
            <w:r w:rsidR="00D5740A" w:rsidRPr="00D5740A">
              <w:rPr>
                <w:vertAlign w:val="subscript"/>
              </w:rPr>
              <w:t>0</w:t>
            </w:r>
          </w:p>
        </w:tc>
        <w:tc>
          <w:tcPr>
            <w:tcW w:w="7201" w:type="dxa"/>
            <w:shd w:val="clear" w:color="auto" w:fill="auto"/>
          </w:tcPr>
          <w:p w14:paraId="60076FAB" w14:textId="47FACCA0" w:rsidR="004E0AB8" w:rsidRPr="00F25DFF" w:rsidRDefault="00A94FD3" w:rsidP="00D2582E">
            <w:pPr>
              <w:pStyle w:val="Table8ptText-ASDEFCON"/>
            </w:pPr>
            <w:r>
              <w:t>the</w:t>
            </w:r>
            <w:r w:rsidR="004E0AB8" w:rsidRPr="00F25DFF">
              <w:t xml:space="preserve"> </w:t>
            </w:r>
            <w:r w:rsidR="00CD4FFA">
              <w:t xml:space="preserve">value </w:t>
            </w:r>
            <w:r w:rsidR="00CE6570">
              <w:t xml:space="preserve">(number) </w:t>
            </w:r>
            <w:r>
              <w:t>for a specific labour index (L</w:t>
            </w:r>
            <w:r w:rsidRPr="00E538C0">
              <w:rPr>
                <w:vertAlign w:val="subscript"/>
              </w:rPr>
              <w:t>i</w:t>
            </w:r>
            <w:r>
              <w:t>)</w:t>
            </w:r>
            <w:r w:rsidR="00D5740A">
              <w:t xml:space="preserve"> </w:t>
            </w:r>
            <w:r w:rsidR="00D2582E">
              <w:t>f</w:t>
            </w:r>
            <w:r w:rsidR="00D5740A">
              <w:t xml:space="preserve">or the period </w:t>
            </w:r>
            <w:r w:rsidR="00D2582E">
              <w:t xml:space="preserve">containing the previous Adjustment  Date </w:t>
            </w:r>
            <w:r w:rsidR="00D5740A">
              <w:t xml:space="preserve">or </w:t>
            </w:r>
            <w:r w:rsidR="00D5740A" w:rsidRPr="00394F9F">
              <w:t>the Base Date</w:t>
            </w:r>
            <w:r w:rsidR="00D5740A">
              <w:t xml:space="preserve"> (for the first adjustment).</w:t>
            </w:r>
          </w:p>
        </w:tc>
      </w:tr>
      <w:tr w:rsidR="004E0AB8" w:rsidRPr="00F25DFF" w14:paraId="5FAD8E6E" w14:textId="77777777" w:rsidTr="00777615">
        <w:trPr>
          <w:cantSplit/>
        </w:trPr>
        <w:tc>
          <w:tcPr>
            <w:tcW w:w="709" w:type="dxa"/>
            <w:shd w:val="clear" w:color="auto" w:fill="auto"/>
          </w:tcPr>
          <w:p w14:paraId="620789BE" w14:textId="77777777" w:rsidR="004E0AB8" w:rsidRPr="00F25DFF" w:rsidRDefault="004E0AB8" w:rsidP="00DA7657">
            <w:pPr>
              <w:pStyle w:val="Table8ptText-ASDEFCON"/>
            </w:pPr>
            <w:r w:rsidRPr="00F25DFF">
              <w:t>Z</w:t>
            </w:r>
            <w:r w:rsidRPr="00402291">
              <w:rPr>
                <w:vertAlign w:val="subscript"/>
              </w:rPr>
              <w:t>k</w:t>
            </w:r>
          </w:p>
        </w:tc>
        <w:tc>
          <w:tcPr>
            <w:tcW w:w="7201" w:type="dxa"/>
            <w:shd w:val="clear" w:color="auto" w:fill="auto"/>
          </w:tcPr>
          <w:p w14:paraId="563C3AEE" w14:textId="4075DE72" w:rsidR="004E0AB8" w:rsidRPr="00F25DFF" w:rsidRDefault="00AB48C2" w:rsidP="00B20A91">
            <w:pPr>
              <w:pStyle w:val="Table8ptText-ASDEFCON"/>
            </w:pPr>
            <w:r>
              <w:t>the</w:t>
            </w:r>
            <w:r w:rsidR="00990BDA">
              <w:t xml:space="preserve"> </w:t>
            </w:r>
            <w:r w:rsidR="004E0AB8" w:rsidRPr="00F25DFF">
              <w:t>component</w:t>
            </w:r>
            <w:r w:rsidR="004E0AB8" w:rsidRPr="008243B5">
              <w:t xml:space="preserve"> </w:t>
            </w:r>
            <w:r w:rsidR="00FC7276">
              <w:t xml:space="preserve">or </w:t>
            </w:r>
            <w:r w:rsidR="00890ED0">
              <w:t>weighting</w:t>
            </w:r>
            <w:r w:rsidR="00DA4B75">
              <w:t xml:space="preserve"> </w:t>
            </w:r>
            <w:r w:rsidR="004E0AB8" w:rsidRPr="008243B5">
              <w:t xml:space="preserve">(expressed as a decimal) </w:t>
            </w:r>
            <w:r w:rsidR="00990BDA">
              <w:t xml:space="preserve">that is attributed </w:t>
            </w:r>
            <w:r w:rsidR="00D5740A">
              <w:t xml:space="preserve">to </w:t>
            </w:r>
            <w:r w:rsidR="00990BDA">
              <w:t xml:space="preserve">a </w:t>
            </w:r>
            <w:r w:rsidR="00637E84">
              <w:t>materials index (M</w:t>
            </w:r>
            <w:r w:rsidR="00637E84" w:rsidRPr="00776500">
              <w:rPr>
                <w:vertAlign w:val="subscript"/>
              </w:rPr>
              <w:t>k</w:t>
            </w:r>
            <w:r w:rsidR="00637E84">
              <w:t>), where the material</w:t>
            </w:r>
            <w:r w:rsidR="007548E4">
              <w:t>s</w:t>
            </w:r>
            <w:r w:rsidR="00637E84">
              <w:t xml:space="preserve"> index </w:t>
            </w:r>
            <w:r w:rsidR="007548E4">
              <w:t xml:space="preserve">tracks price variations for </w:t>
            </w:r>
            <w:r w:rsidR="00637E84">
              <w:t>a</w:t>
            </w:r>
            <w:r w:rsidR="00DA4B75">
              <w:t xml:space="preserve"> </w:t>
            </w:r>
            <w:r w:rsidR="00990BDA">
              <w:t xml:space="preserve">category of materials </w:t>
            </w:r>
            <w:r w:rsidR="00637E84">
              <w:t xml:space="preserve">in a </w:t>
            </w:r>
            <w:r w:rsidR="00990BDA">
              <w:t>currency</w:t>
            </w:r>
            <w:r w:rsidR="00637E84">
              <w:t>.</w:t>
            </w:r>
            <w:r w:rsidR="00990BDA">
              <w:t xml:space="preserve"> </w:t>
            </w:r>
          </w:p>
        </w:tc>
      </w:tr>
      <w:tr w:rsidR="004E0AB8" w:rsidRPr="00F25DFF" w14:paraId="532E2BBA" w14:textId="77777777" w:rsidTr="00777615">
        <w:trPr>
          <w:cantSplit/>
        </w:trPr>
        <w:tc>
          <w:tcPr>
            <w:tcW w:w="709" w:type="dxa"/>
            <w:shd w:val="clear" w:color="auto" w:fill="auto"/>
          </w:tcPr>
          <w:p w14:paraId="203E073A" w14:textId="0999153A" w:rsidR="004E0AB8" w:rsidRPr="00F25DFF" w:rsidRDefault="004E0AB8" w:rsidP="00DA7657">
            <w:pPr>
              <w:pStyle w:val="Table8ptText-ASDEFCON"/>
            </w:pPr>
            <w:r w:rsidRPr="008243B5">
              <w:t>M</w:t>
            </w:r>
            <w:r w:rsidR="00EE7191">
              <w:rPr>
                <w:vertAlign w:val="subscript"/>
              </w:rPr>
              <w:t>n</w:t>
            </w:r>
          </w:p>
        </w:tc>
        <w:tc>
          <w:tcPr>
            <w:tcW w:w="7201" w:type="dxa"/>
            <w:shd w:val="clear" w:color="auto" w:fill="auto"/>
          </w:tcPr>
          <w:p w14:paraId="0469354B" w14:textId="0517CEB9" w:rsidR="004E0AB8" w:rsidRPr="00720D4B" w:rsidRDefault="00990BDA" w:rsidP="0032079E">
            <w:pPr>
              <w:pStyle w:val="Table8ptText-ASDEFCON"/>
            </w:pPr>
            <w:r>
              <w:t>a</w:t>
            </w:r>
            <w:r w:rsidR="004E0AB8">
              <w:t xml:space="preserve"> </w:t>
            </w:r>
            <w:r w:rsidR="00A94FD3">
              <w:t>published</w:t>
            </w:r>
            <w:r w:rsidR="004E0AB8" w:rsidRPr="008243B5">
              <w:t xml:space="preserve"> </w:t>
            </w:r>
            <w:r>
              <w:t>value (</w:t>
            </w:r>
            <w:r w:rsidR="004E0AB8" w:rsidRPr="008243B5">
              <w:t>number</w:t>
            </w:r>
            <w:r w:rsidR="004E0AB8">
              <w:t>)</w:t>
            </w:r>
            <w:r w:rsidR="00777615">
              <w:t xml:space="preserve"> for </w:t>
            </w:r>
            <w:r w:rsidR="00A94FD3">
              <w:t>a specific materials index</w:t>
            </w:r>
            <w:r w:rsidR="0032079E">
              <w:t xml:space="preserve"> </w:t>
            </w:r>
            <w:r w:rsidR="00A94FD3">
              <w:t xml:space="preserve">(Mk) in </w:t>
            </w:r>
            <w:r w:rsidR="00777615">
              <w:t>the new pricing period</w:t>
            </w:r>
            <w:r w:rsidR="00A94FD3">
              <w:t xml:space="preserve"> (ie, in the new </w:t>
            </w:r>
            <w:r w:rsidR="0008737B">
              <w:t xml:space="preserve">pricing </w:t>
            </w:r>
            <w:r w:rsidR="00A94FD3">
              <w:t>period the value for the index M</w:t>
            </w:r>
            <w:r w:rsidR="00A94FD3" w:rsidRPr="00D8036E">
              <w:rPr>
                <w:vertAlign w:val="subscript"/>
              </w:rPr>
              <w:t>k</w:t>
            </w:r>
            <w:r w:rsidR="00A94FD3">
              <w:t xml:space="preserve"> is M</w:t>
            </w:r>
            <w:r w:rsidR="00A94FD3" w:rsidRPr="00D8036E">
              <w:rPr>
                <w:vertAlign w:val="subscript"/>
              </w:rPr>
              <w:t>n</w:t>
            </w:r>
            <w:r w:rsidR="00A94FD3">
              <w:t>)</w:t>
            </w:r>
            <w:r w:rsidR="00777615">
              <w:t>.</w:t>
            </w:r>
          </w:p>
        </w:tc>
      </w:tr>
      <w:tr w:rsidR="004E0AB8" w:rsidRPr="00F25DFF" w14:paraId="2C8EABFE" w14:textId="77777777" w:rsidTr="00777615">
        <w:trPr>
          <w:cantSplit/>
        </w:trPr>
        <w:tc>
          <w:tcPr>
            <w:tcW w:w="709" w:type="dxa"/>
            <w:shd w:val="clear" w:color="auto" w:fill="auto"/>
          </w:tcPr>
          <w:p w14:paraId="2D50623A" w14:textId="3282D0A7" w:rsidR="004E0AB8" w:rsidRPr="00F25DFF" w:rsidRDefault="004E0AB8" w:rsidP="00DA7657">
            <w:pPr>
              <w:pStyle w:val="Table8ptText-ASDEFCON"/>
            </w:pPr>
            <w:r w:rsidRPr="008243B5">
              <w:t>M</w:t>
            </w:r>
            <w:r w:rsidR="00AA0FB0" w:rsidRPr="00AA0FB0">
              <w:rPr>
                <w:vertAlign w:val="subscript"/>
              </w:rPr>
              <w:t>0</w:t>
            </w:r>
          </w:p>
        </w:tc>
        <w:tc>
          <w:tcPr>
            <w:tcW w:w="7201" w:type="dxa"/>
            <w:shd w:val="clear" w:color="auto" w:fill="auto"/>
          </w:tcPr>
          <w:p w14:paraId="7FD514DF" w14:textId="15D2682F" w:rsidR="004E0AB8" w:rsidRPr="00F25DFF" w:rsidRDefault="00AA0FB0" w:rsidP="00D2582E">
            <w:pPr>
              <w:pStyle w:val="Table8ptText-ASDEFCON"/>
            </w:pPr>
            <w:r>
              <w:t>a value</w:t>
            </w:r>
            <w:r w:rsidR="004E0AB8" w:rsidRPr="008243B5">
              <w:t xml:space="preserve"> </w:t>
            </w:r>
            <w:r w:rsidR="00CE6570">
              <w:t xml:space="preserve">(number) </w:t>
            </w:r>
            <w:r w:rsidR="00727525">
              <w:t>for a specific</w:t>
            </w:r>
            <w:r w:rsidR="004E0AB8">
              <w:t xml:space="preserve"> </w:t>
            </w:r>
            <w:r>
              <w:t xml:space="preserve">materials </w:t>
            </w:r>
            <w:r w:rsidR="00727525">
              <w:t xml:space="preserve">index (Mk) </w:t>
            </w:r>
            <w:r>
              <w:t xml:space="preserve">for the period </w:t>
            </w:r>
            <w:r w:rsidR="00D2582E">
              <w:t xml:space="preserve">containing the previous Adjustment  Date </w:t>
            </w:r>
            <w:r>
              <w:t xml:space="preserve">or </w:t>
            </w:r>
            <w:r w:rsidRPr="00394F9F">
              <w:t>the Base Date</w:t>
            </w:r>
            <w:r>
              <w:t xml:space="preserve"> (for the first adjustment)</w:t>
            </w:r>
            <w:r w:rsidR="008D7428">
              <w:t>.</w:t>
            </w:r>
          </w:p>
        </w:tc>
      </w:tr>
      <w:tr w:rsidR="004E0AB8" w:rsidRPr="00F25DFF" w14:paraId="1E5D271C" w14:textId="77777777" w:rsidTr="00777615">
        <w:trPr>
          <w:cantSplit/>
        </w:trPr>
        <w:tc>
          <w:tcPr>
            <w:tcW w:w="709" w:type="dxa"/>
            <w:shd w:val="clear" w:color="auto" w:fill="auto"/>
          </w:tcPr>
          <w:p w14:paraId="78690836" w14:textId="77777777" w:rsidR="004E0AB8" w:rsidRPr="008243B5" w:rsidRDefault="004E0AB8" w:rsidP="00DA7657">
            <w:pPr>
              <w:pStyle w:val="Table8ptText-ASDEFCON"/>
            </w:pPr>
            <w:r>
              <w:t>i</w:t>
            </w:r>
          </w:p>
        </w:tc>
        <w:tc>
          <w:tcPr>
            <w:tcW w:w="7201" w:type="dxa"/>
            <w:shd w:val="clear" w:color="auto" w:fill="auto"/>
          </w:tcPr>
          <w:p w14:paraId="706CF0C2" w14:textId="2E9CAB22" w:rsidR="004E0AB8" w:rsidRPr="008243B5" w:rsidRDefault="004E0AB8" w:rsidP="00EE7191">
            <w:pPr>
              <w:pStyle w:val="Table8ptText-ASDEFCON"/>
            </w:pPr>
            <w:r>
              <w:t>is a number that identifies the labour component (Y</w:t>
            </w:r>
            <w:r w:rsidRPr="00E538C0">
              <w:rPr>
                <w:vertAlign w:val="subscript"/>
              </w:rPr>
              <w:t>i</w:t>
            </w:r>
            <w:r>
              <w:t xml:space="preserve">) </w:t>
            </w:r>
            <w:r w:rsidR="00EE7191">
              <w:t xml:space="preserve">for </w:t>
            </w:r>
            <w:r>
              <w:t xml:space="preserve">the associated labour index </w:t>
            </w:r>
            <w:r w:rsidR="00CF32DC">
              <w:t>value</w:t>
            </w:r>
            <w:r>
              <w:t xml:space="preserve"> (L</w:t>
            </w:r>
            <w:r w:rsidRPr="00E538C0">
              <w:rPr>
                <w:vertAlign w:val="subscript"/>
              </w:rPr>
              <w:t>i</w:t>
            </w:r>
            <w:r>
              <w:t>)</w:t>
            </w:r>
            <w:r w:rsidR="00A66ABE">
              <w:t xml:space="preserve"> in the Adjustments annex</w:t>
            </w:r>
            <w:r>
              <w:t xml:space="preserve"> (eg, if i=1, Y</w:t>
            </w:r>
            <w:r w:rsidRPr="00E538C0">
              <w:rPr>
                <w:vertAlign w:val="subscript"/>
              </w:rPr>
              <w:t>i</w:t>
            </w:r>
            <w:r>
              <w:t>=Y</w:t>
            </w:r>
            <w:r w:rsidRPr="00E538C0">
              <w:rPr>
                <w:vertAlign w:val="subscript"/>
              </w:rPr>
              <w:t>1</w:t>
            </w:r>
            <w:r>
              <w:t xml:space="preserve"> and L</w:t>
            </w:r>
            <w:r w:rsidRPr="00E538C0">
              <w:rPr>
                <w:vertAlign w:val="subscript"/>
              </w:rPr>
              <w:t>i</w:t>
            </w:r>
            <w:r>
              <w:t>=L</w:t>
            </w:r>
            <w:r w:rsidRPr="00E538C0">
              <w:rPr>
                <w:vertAlign w:val="subscript"/>
              </w:rPr>
              <w:t>1</w:t>
            </w:r>
            <w:r>
              <w:t>).</w:t>
            </w:r>
          </w:p>
        </w:tc>
      </w:tr>
      <w:tr w:rsidR="004E0AB8" w:rsidRPr="00F25DFF" w14:paraId="1814986C" w14:textId="77777777" w:rsidTr="00777615">
        <w:trPr>
          <w:cantSplit/>
        </w:trPr>
        <w:tc>
          <w:tcPr>
            <w:tcW w:w="709" w:type="dxa"/>
            <w:shd w:val="clear" w:color="auto" w:fill="auto"/>
          </w:tcPr>
          <w:p w14:paraId="76B20E8C" w14:textId="07749235" w:rsidR="004E0AB8" w:rsidRDefault="00AA0FB0" w:rsidP="00DA7657">
            <w:pPr>
              <w:pStyle w:val="Table8ptText-ASDEFCON"/>
            </w:pPr>
            <w:r>
              <w:t>q</w:t>
            </w:r>
          </w:p>
        </w:tc>
        <w:tc>
          <w:tcPr>
            <w:tcW w:w="7201" w:type="dxa"/>
            <w:shd w:val="clear" w:color="auto" w:fill="auto"/>
          </w:tcPr>
          <w:p w14:paraId="27E50599" w14:textId="3568CD3B" w:rsidR="004E0AB8" w:rsidRDefault="00666C74" w:rsidP="00890ED0">
            <w:pPr>
              <w:pStyle w:val="Table8ptText-ASDEFCON"/>
            </w:pPr>
            <w:r>
              <w:t xml:space="preserve">is </w:t>
            </w:r>
            <w:r w:rsidR="004E0AB8">
              <w:t xml:space="preserve">the </w:t>
            </w:r>
            <w:r w:rsidR="00AA0FB0">
              <w:t xml:space="preserve">number of labour indices </w:t>
            </w:r>
            <w:r w:rsidR="00A66ABE">
              <w:t xml:space="preserve">in </w:t>
            </w:r>
            <w:r w:rsidR="00AA0FB0">
              <w:t xml:space="preserve">a </w:t>
            </w:r>
            <w:r w:rsidR="00CF32DC">
              <w:t>particular price adjustment</w:t>
            </w:r>
            <w:r w:rsidR="00A66ABE">
              <w:t xml:space="preserve"> formula</w:t>
            </w:r>
            <w:r w:rsidR="004E0AB8">
              <w:t xml:space="preserve"> (eg, if </w:t>
            </w:r>
            <w:r w:rsidR="00AA0FB0">
              <w:t>q</w:t>
            </w:r>
            <w:r w:rsidR="004E0AB8">
              <w:t>=3, there are three labour ind</w:t>
            </w:r>
            <w:r w:rsidR="00604C5A">
              <w:t>ices</w:t>
            </w:r>
            <w:r w:rsidR="004E0AB8">
              <w:t xml:space="preserve"> (L</w:t>
            </w:r>
            <w:r w:rsidR="004E0AB8" w:rsidRPr="00E538C0">
              <w:rPr>
                <w:vertAlign w:val="subscript"/>
              </w:rPr>
              <w:t>i</w:t>
            </w:r>
            <w:r w:rsidR="004E0AB8">
              <w:t>)</w:t>
            </w:r>
            <w:r w:rsidR="00CF32DC">
              <w:t xml:space="preserve"> with three related </w:t>
            </w:r>
            <w:r w:rsidR="00890ED0">
              <w:t>weightings</w:t>
            </w:r>
            <w:r w:rsidR="00CF32DC">
              <w:t xml:space="preserve"> (</w:t>
            </w:r>
            <w:r w:rsidR="00890ED0" w:rsidRPr="00890ED0">
              <w:t>Y</w:t>
            </w:r>
            <w:r w:rsidR="00890ED0">
              <w:rPr>
                <w:vertAlign w:val="subscript"/>
              </w:rPr>
              <w:t>i</w:t>
            </w:r>
            <w:r w:rsidR="00CF32DC">
              <w:t>)</w:t>
            </w:r>
            <w:r w:rsidR="00890ED0">
              <w:t xml:space="preserve"> </w:t>
            </w:r>
            <w:r w:rsidR="004E0AB8">
              <w:t xml:space="preserve"> identified in </w:t>
            </w:r>
            <w:r w:rsidR="00CF32DC">
              <w:t xml:space="preserve">Annex </w:t>
            </w:r>
            <w:r w:rsidR="008D7428">
              <w:t>F</w:t>
            </w:r>
            <w:r w:rsidR="00727525">
              <w:t>)</w:t>
            </w:r>
            <w:r w:rsidR="004E0AB8">
              <w:t>.</w:t>
            </w:r>
          </w:p>
        </w:tc>
      </w:tr>
      <w:tr w:rsidR="004E0AB8" w:rsidRPr="00F25DFF" w14:paraId="16AC95B6" w14:textId="77777777" w:rsidTr="00777615">
        <w:trPr>
          <w:cantSplit/>
        </w:trPr>
        <w:tc>
          <w:tcPr>
            <w:tcW w:w="709" w:type="dxa"/>
            <w:shd w:val="clear" w:color="auto" w:fill="auto"/>
          </w:tcPr>
          <w:p w14:paraId="692838E7" w14:textId="77777777" w:rsidR="004E0AB8" w:rsidRPr="008243B5" w:rsidRDefault="004E0AB8" w:rsidP="00DA7657">
            <w:pPr>
              <w:pStyle w:val="Table8ptText-ASDEFCON"/>
            </w:pPr>
            <w:r>
              <w:t>k</w:t>
            </w:r>
          </w:p>
        </w:tc>
        <w:tc>
          <w:tcPr>
            <w:tcW w:w="7201" w:type="dxa"/>
            <w:shd w:val="clear" w:color="auto" w:fill="auto"/>
          </w:tcPr>
          <w:p w14:paraId="471BF5AC" w14:textId="36C38B4C" w:rsidR="004E0AB8" w:rsidRPr="008243B5" w:rsidRDefault="004E0AB8" w:rsidP="00EE7191">
            <w:pPr>
              <w:pStyle w:val="Table8ptText-ASDEFCON"/>
            </w:pPr>
            <w:r>
              <w:t>is a number that identifies the materials component (Z</w:t>
            </w:r>
            <w:r>
              <w:rPr>
                <w:vertAlign w:val="subscript"/>
              </w:rPr>
              <w:t>k</w:t>
            </w:r>
            <w:r>
              <w:t xml:space="preserve">) </w:t>
            </w:r>
            <w:r w:rsidR="00EE7191">
              <w:t xml:space="preserve">for </w:t>
            </w:r>
            <w:r>
              <w:t xml:space="preserve">the associated materials index </w:t>
            </w:r>
            <w:r w:rsidR="00CF32DC">
              <w:t>value</w:t>
            </w:r>
            <w:r>
              <w:t xml:space="preserve"> (M</w:t>
            </w:r>
            <w:r>
              <w:rPr>
                <w:vertAlign w:val="subscript"/>
              </w:rPr>
              <w:t>k</w:t>
            </w:r>
            <w:r>
              <w:t xml:space="preserve">) </w:t>
            </w:r>
            <w:r w:rsidR="00A66ABE">
              <w:t xml:space="preserve">in the Adjustments annex </w:t>
            </w:r>
            <w:r>
              <w:t>(eg, if k=2, Z</w:t>
            </w:r>
            <w:r>
              <w:rPr>
                <w:vertAlign w:val="subscript"/>
              </w:rPr>
              <w:t>k</w:t>
            </w:r>
            <w:r>
              <w:t>=Z</w:t>
            </w:r>
            <w:r>
              <w:rPr>
                <w:vertAlign w:val="subscript"/>
              </w:rPr>
              <w:t>2</w:t>
            </w:r>
            <w:r>
              <w:t xml:space="preserve"> and M</w:t>
            </w:r>
            <w:r>
              <w:rPr>
                <w:vertAlign w:val="subscript"/>
              </w:rPr>
              <w:t>k</w:t>
            </w:r>
            <w:r>
              <w:t>=M</w:t>
            </w:r>
            <w:r>
              <w:rPr>
                <w:vertAlign w:val="subscript"/>
              </w:rPr>
              <w:t>2</w:t>
            </w:r>
            <w:r>
              <w:t>).</w:t>
            </w:r>
          </w:p>
        </w:tc>
      </w:tr>
      <w:tr w:rsidR="004E0AB8" w:rsidRPr="00F25DFF" w14:paraId="01C9AAF2" w14:textId="77777777" w:rsidTr="00777615">
        <w:trPr>
          <w:cantSplit/>
        </w:trPr>
        <w:tc>
          <w:tcPr>
            <w:tcW w:w="709" w:type="dxa"/>
            <w:shd w:val="clear" w:color="auto" w:fill="auto"/>
          </w:tcPr>
          <w:p w14:paraId="75F832DE" w14:textId="712A2BD6" w:rsidR="004E0AB8" w:rsidRDefault="00D53AAD" w:rsidP="00DA7657">
            <w:pPr>
              <w:pStyle w:val="Table8ptText-ASDEFCON"/>
            </w:pPr>
            <w:r>
              <w:t>r</w:t>
            </w:r>
          </w:p>
        </w:tc>
        <w:tc>
          <w:tcPr>
            <w:tcW w:w="7201" w:type="dxa"/>
            <w:shd w:val="clear" w:color="auto" w:fill="auto"/>
          </w:tcPr>
          <w:p w14:paraId="4DC460FD" w14:textId="707A3DE4" w:rsidR="004E0AB8" w:rsidRDefault="00666C74" w:rsidP="00890ED0">
            <w:pPr>
              <w:pStyle w:val="Table8ptText-ASDEFCON"/>
            </w:pPr>
            <w:r>
              <w:t xml:space="preserve">is </w:t>
            </w:r>
            <w:r w:rsidR="004E0AB8">
              <w:t xml:space="preserve">the number of materials indices </w:t>
            </w:r>
            <w:r>
              <w:t>in</w:t>
            </w:r>
            <w:r w:rsidR="00D53AAD">
              <w:t xml:space="preserve"> a particular price adjustment</w:t>
            </w:r>
            <w:r w:rsidR="00A66ABE">
              <w:t xml:space="preserve"> formula</w:t>
            </w:r>
            <w:r w:rsidR="004E0AB8">
              <w:t xml:space="preserve"> (eg, if </w:t>
            </w:r>
            <w:r w:rsidR="00201E6D">
              <w:t>r</w:t>
            </w:r>
            <w:r w:rsidR="004E0AB8">
              <w:t>=2, there are two materials ind</w:t>
            </w:r>
            <w:r w:rsidR="00604C5A">
              <w:t>ices</w:t>
            </w:r>
            <w:r w:rsidR="004E0AB8">
              <w:t xml:space="preserve"> (M</w:t>
            </w:r>
            <w:r w:rsidR="004E0AB8">
              <w:rPr>
                <w:vertAlign w:val="subscript"/>
              </w:rPr>
              <w:t>k</w:t>
            </w:r>
            <w:r w:rsidR="004E0AB8">
              <w:t>)</w:t>
            </w:r>
            <w:r w:rsidR="00D53AAD">
              <w:t xml:space="preserve"> with </w:t>
            </w:r>
            <w:r w:rsidR="00D53AAD" w:rsidRPr="00776500">
              <w:t>two</w:t>
            </w:r>
            <w:r w:rsidR="00D53AAD">
              <w:t xml:space="preserve"> related </w:t>
            </w:r>
            <w:r w:rsidR="00890ED0">
              <w:t>weightings</w:t>
            </w:r>
            <w:r w:rsidR="00D53AAD">
              <w:t xml:space="preserve"> (Z</w:t>
            </w:r>
            <w:r w:rsidR="00D53AAD">
              <w:rPr>
                <w:vertAlign w:val="subscript"/>
              </w:rPr>
              <w:t>k</w:t>
            </w:r>
            <w:r w:rsidR="00D53AAD">
              <w:t>)</w:t>
            </w:r>
            <w:r w:rsidR="004E0AB8">
              <w:t xml:space="preserve"> identified in </w:t>
            </w:r>
            <w:r w:rsidR="00D53AAD">
              <w:t xml:space="preserve">Annex </w:t>
            </w:r>
            <w:r w:rsidR="008D7428">
              <w:t>F</w:t>
            </w:r>
            <w:r w:rsidR="00727525">
              <w:t>)</w:t>
            </w:r>
            <w:r w:rsidR="004E0AB8">
              <w:t>.</w:t>
            </w:r>
          </w:p>
        </w:tc>
      </w:tr>
    </w:tbl>
    <w:p w14:paraId="30AFC202" w14:textId="7A084E25" w:rsidR="004E0AB8" w:rsidRDefault="004E0AB8" w:rsidP="00DA7657">
      <w:pPr>
        <w:pStyle w:val="ASDEFCONOptionSpace"/>
      </w:pPr>
    </w:p>
    <w:p w14:paraId="2BAAC985" w14:textId="0E4248F4" w:rsidR="00AC28B6" w:rsidRDefault="00AC28B6" w:rsidP="00992F39">
      <w:pPr>
        <w:pStyle w:val="COTCOCLV3NONUM-ASDEFCON"/>
      </w:pPr>
      <w:r>
        <w:t>and where,</w:t>
      </w:r>
      <w:r w:rsidRPr="00AC28B6">
        <w:t xml:space="preserve"> </w:t>
      </w:r>
      <w:r>
        <w:t>for each price (P</w:t>
      </w:r>
      <w:r w:rsidRPr="00550D10">
        <w:rPr>
          <w:vertAlign w:val="subscript"/>
        </w:rPr>
        <w:t>0</w:t>
      </w:r>
      <w:r>
        <w:t xml:space="preserve">) the sum of </w:t>
      </w:r>
      <w:r w:rsidR="00666C74">
        <w:t xml:space="preserve">all </w:t>
      </w:r>
      <w:r>
        <w:t xml:space="preserve">components </w:t>
      </w:r>
      <w:r w:rsidR="005F1B65">
        <w:t>(</w:t>
      </w:r>
      <w:r w:rsidR="00465F96">
        <w:t>weightings</w:t>
      </w:r>
      <w:r w:rsidR="005F1B65">
        <w:t xml:space="preserve">), </w:t>
      </w:r>
      <w:r>
        <w:t>attributed to labour and materials</w:t>
      </w:r>
      <w:r w:rsidR="005F1B65">
        <w:t>,</w:t>
      </w:r>
      <w:r>
        <w:t xml:space="preserve"> equals one, ie:</w:t>
      </w:r>
    </w:p>
    <w:p w14:paraId="12BE4EFF" w14:textId="26AF9E4A" w:rsidR="00AC28B6" w:rsidRPr="009D2EF7" w:rsidRDefault="007B78E8" w:rsidP="004E0AB8">
      <w:pPr>
        <w:pStyle w:val="COTCOCLV3-ASDEFCON"/>
        <w:numPr>
          <w:ilvl w:val="0"/>
          <w:numId w:val="0"/>
        </w:numPr>
        <w:ind w:left="851"/>
      </w:pPr>
      <m:oMathPara>
        <m:oMath>
          <m:nary>
            <m:naryPr>
              <m:chr m:val="∑"/>
              <m:limLoc m:val="undOvr"/>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q</m:t>
              </m:r>
            </m:sup>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nary>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k=1</m:t>
              </m:r>
            </m:sub>
            <m:sup>
              <m:r>
                <w:rPr>
                  <w:rFonts w:ascii="Cambria Math" w:eastAsiaTheme="minorEastAsia" w:hAnsi="Cambria Math"/>
                </w:rPr>
                <m:t>r</m:t>
              </m:r>
            </m:sup>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k</m:t>
                  </m:r>
                </m:sub>
              </m:sSub>
            </m:e>
          </m:nary>
          <m:r>
            <w:rPr>
              <w:rFonts w:ascii="Cambria Math" w:eastAsiaTheme="minorEastAsia" w:hAnsi="Cambria Math"/>
            </w:rPr>
            <m:t>=1</m:t>
          </m:r>
        </m:oMath>
      </m:oMathPara>
    </w:p>
    <w:p w14:paraId="59F024AE" w14:textId="7B263CB3" w:rsidR="0088533F" w:rsidRDefault="00B079FB" w:rsidP="005B2221">
      <w:pPr>
        <w:pStyle w:val="NoteToDrafters-ASDEFCON"/>
      </w:pPr>
      <w:r>
        <w:t xml:space="preserve">Note to drafters:  Include the following clause in all </w:t>
      </w:r>
      <w:r w:rsidR="00AE72D8">
        <w:t>draft Contracts (this is not part of Option B</w:t>
      </w:r>
      <w:r>
        <w:t>).</w:t>
      </w:r>
    </w:p>
    <w:p w14:paraId="5CFF32F2" w14:textId="5F9A9FC4" w:rsidR="00B079FB" w:rsidRDefault="00B079FB" w:rsidP="005B2221">
      <w:pPr>
        <w:pStyle w:val="COTCOCLV3-ASDEFCON"/>
      </w:pPr>
      <w:r>
        <w:t>For labour rates for S&amp;Q Services in Annex E to Attachment B, the following price adjustment formula shall be applied in accordance with clause 7.4 of the conditions of contract:</w:t>
      </w:r>
    </w:p>
    <w:p w14:paraId="49F001BD" w14:textId="6D565EDB" w:rsidR="00B079FB" w:rsidRDefault="007B78E8" w:rsidP="00DA7657">
      <w:pPr>
        <w:pStyle w:val="ASDEFCONNormal"/>
      </w:pPr>
      <m:oMathPara>
        <m:oMath>
          <m:sSub>
            <m:sSubPr>
              <m:ctrlPr>
                <w:rPr>
                  <w:rFonts w:ascii="Cambria Math" w:hAnsi="Cambria Math"/>
                </w:rPr>
              </m:ctrlPr>
            </m:sSubPr>
            <m:e>
              <m:r>
                <w:rPr>
                  <w:rFonts w:ascii="Cambria Math" w:hAnsi="Cambria Math"/>
                </w:rPr>
                <m:t>P</m:t>
              </m:r>
            </m:e>
            <m:sub>
              <m:r>
                <m:rPr>
                  <m:sty m:val="p"/>
                </m:rP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L</m:t>
                  </m:r>
                </m:e>
                <m:sub>
                  <m:r>
                    <m:rPr>
                      <m:sty m:val="p"/>
                    </m:rPr>
                    <w:rPr>
                      <w:rFonts w:ascii="Cambria Math" w:hAnsi="Cambria Math"/>
                    </w:rPr>
                    <m:t>n</m:t>
                  </m:r>
                </m:sub>
              </m:sSub>
            </m:num>
            <m:den>
              <m:sSub>
                <m:sSubPr>
                  <m:ctrlPr>
                    <w:rPr>
                      <w:rFonts w:ascii="Cambria Math" w:hAnsi="Cambria Math"/>
                    </w:rPr>
                  </m:ctrlPr>
                </m:sSubPr>
                <m:e>
                  <m:r>
                    <w:rPr>
                      <w:rFonts w:ascii="Cambria Math" w:hAnsi="Cambria Math"/>
                    </w:rPr>
                    <m:t>L</m:t>
                  </m:r>
                </m:e>
                <m:sub>
                  <m:r>
                    <m:rPr>
                      <m:sty m:val="p"/>
                    </m:rPr>
                    <w:rPr>
                      <w:rFonts w:ascii="Cambria Math" w:hAnsi="Cambria Math"/>
                    </w:rPr>
                    <m:t>0</m:t>
                  </m:r>
                </m:sub>
              </m:sSub>
            </m:den>
          </m:f>
          <m:r>
            <m:rPr>
              <m:sty m:val="p"/>
            </m:rPr>
            <w:rPr>
              <w:rFonts w:ascii="Cambria Math" w:hAnsi="Cambria Math"/>
            </w:rPr>
            <m:t>*</m:t>
          </m:r>
          <m:sSub>
            <m:sSubPr>
              <m:ctrlPr>
                <w:rPr>
                  <w:rFonts w:ascii="Cambria Math" w:hAnsi="Cambria Math"/>
                </w:rPr>
              </m:ctrlPr>
            </m:sSubPr>
            <m:e>
              <m:r>
                <w:rPr>
                  <w:rFonts w:ascii="Cambria Math" w:hAnsi="Cambria Math"/>
                </w:rPr>
                <m:t>P</m:t>
              </m:r>
            </m:e>
            <m:sub>
              <m:r>
                <m:rPr>
                  <m:sty m:val="p"/>
                </m:rPr>
                <w:rPr>
                  <w:rFonts w:ascii="Cambria Math" w:hAnsi="Cambria Math"/>
                </w:rPr>
                <m:t>0</m:t>
              </m:r>
            </m:sub>
          </m:sSub>
        </m:oMath>
      </m:oMathPara>
    </w:p>
    <w:p w14:paraId="646BD878" w14:textId="01D583F8" w:rsidR="00AE72D8" w:rsidRDefault="00B079FB" w:rsidP="00DA7657">
      <w:pPr>
        <w:pStyle w:val="COTCOCLV3NONUM-ASDEFCON"/>
      </w:pPr>
      <w:r>
        <w:t>where:</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01"/>
      </w:tblGrid>
      <w:tr w:rsidR="00AE72D8" w:rsidRPr="00F25DFF" w14:paraId="4524B960" w14:textId="77777777" w:rsidTr="00A9565E">
        <w:trPr>
          <w:cantSplit/>
        </w:trPr>
        <w:tc>
          <w:tcPr>
            <w:tcW w:w="709" w:type="dxa"/>
            <w:shd w:val="clear" w:color="auto" w:fill="auto"/>
          </w:tcPr>
          <w:p w14:paraId="185C577A" w14:textId="77777777" w:rsidR="00AE72D8" w:rsidRPr="00F25DFF" w:rsidRDefault="00AE72D8" w:rsidP="00DA7657">
            <w:pPr>
              <w:pStyle w:val="Table8ptHeading-ASDEFCON"/>
            </w:pPr>
            <w:r w:rsidRPr="00F25DFF">
              <w:t>Ref</w:t>
            </w:r>
          </w:p>
        </w:tc>
        <w:tc>
          <w:tcPr>
            <w:tcW w:w="7201" w:type="dxa"/>
            <w:shd w:val="clear" w:color="auto" w:fill="auto"/>
          </w:tcPr>
          <w:p w14:paraId="29949BAB" w14:textId="77777777" w:rsidR="00AE72D8" w:rsidRPr="00F25DFF" w:rsidRDefault="00AE72D8" w:rsidP="00DA7657">
            <w:pPr>
              <w:pStyle w:val="Table8ptHeading-ASDEFCON"/>
            </w:pPr>
            <w:r w:rsidRPr="00F25DFF">
              <w:t>Description</w:t>
            </w:r>
          </w:p>
        </w:tc>
      </w:tr>
      <w:tr w:rsidR="00AE72D8" w:rsidRPr="003B4D5A" w14:paraId="69A62E3A" w14:textId="77777777" w:rsidTr="00A9565E">
        <w:trPr>
          <w:cantSplit/>
        </w:trPr>
        <w:tc>
          <w:tcPr>
            <w:tcW w:w="709" w:type="dxa"/>
            <w:shd w:val="clear" w:color="auto" w:fill="auto"/>
          </w:tcPr>
          <w:p w14:paraId="2CE871F1" w14:textId="17986A82" w:rsidR="00AE72D8" w:rsidRPr="00F25DFF" w:rsidRDefault="00AE72D8" w:rsidP="00DA7657">
            <w:pPr>
              <w:pStyle w:val="Table8ptText-ASDEFCON"/>
            </w:pPr>
            <w:r w:rsidRPr="00F25DFF">
              <w:t>P</w:t>
            </w:r>
            <w:r w:rsidR="00EE7191">
              <w:rPr>
                <w:vertAlign w:val="subscript"/>
              </w:rPr>
              <w:t>n</w:t>
            </w:r>
          </w:p>
        </w:tc>
        <w:tc>
          <w:tcPr>
            <w:tcW w:w="7201" w:type="dxa"/>
            <w:shd w:val="clear" w:color="auto" w:fill="auto"/>
          </w:tcPr>
          <w:p w14:paraId="6C67EAC3" w14:textId="3ADA28A8" w:rsidR="00AE72D8" w:rsidRPr="00F25DFF" w:rsidRDefault="00AE72D8" w:rsidP="00DA7657">
            <w:pPr>
              <w:pStyle w:val="Table8ptText-ASDEFCON"/>
            </w:pPr>
            <w:r>
              <w:t>the new (ie, adjusted) rate for S&amp;Q Services, in a particular source currency.</w:t>
            </w:r>
          </w:p>
        </w:tc>
      </w:tr>
      <w:tr w:rsidR="00AE72D8" w:rsidRPr="003B4D5A" w14:paraId="3EA46824" w14:textId="77777777" w:rsidTr="00A9565E">
        <w:trPr>
          <w:cantSplit/>
        </w:trPr>
        <w:tc>
          <w:tcPr>
            <w:tcW w:w="709" w:type="dxa"/>
            <w:shd w:val="clear" w:color="auto" w:fill="auto"/>
          </w:tcPr>
          <w:p w14:paraId="27485CC9" w14:textId="77777777" w:rsidR="00AE72D8" w:rsidRPr="003B4D5A" w:rsidRDefault="00AE72D8" w:rsidP="00DA7657">
            <w:pPr>
              <w:pStyle w:val="Table8ptText-ASDEFCON"/>
            </w:pPr>
            <w:r w:rsidRPr="003B4D5A">
              <w:t>P</w:t>
            </w:r>
            <w:r w:rsidRPr="00A72DB1">
              <w:rPr>
                <w:vertAlign w:val="subscript"/>
              </w:rPr>
              <w:t>0</w:t>
            </w:r>
          </w:p>
        </w:tc>
        <w:tc>
          <w:tcPr>
            <w:tcW w:w="7201" w:type="dxa"/>
            <w:shd w:val="clear" w:color="auto" w:fill="auto"/>
          </w:tcPr>
          <w:p w14:paraId="1E1C4C36" w14:textId="02F2F7C2" w:rsidR="00AE72D8" w:rsidRPr="003B4D5A" w:rsidRDefault="00AE72D8" w:rsidP="00DA7657">
            <w:pPr>
              <w:pStyle w:val="Table8ptText-ASDEFCON"/>
            </w:pPr>
            <w:r>
              <w:t>the baseline rate for S&amp;Q Services in a particular source currency, being either the amount for the previous period or at the Base Date (for the first adjustment).</w:t>
            </w:r>
          </w:p>
        </w:tc>
      </w:tr>
      <w:tr w:rsidR="00AE72D8" w:rsidRPr="003B4D5A" w14:paraId="483F1BC0" w14:textId="77777777" w:rsidTr="00A9565E">
        <w:trPr>
          <w:cantSplit/>
        </w:trPr>
        <w:tc>
          <w:tcPr>
            <w:tcW w:w="709" w:type="dxa"/>
            <w:shd w:val="clear" w:color="auto" w:fill="auto"/>
          </w:tcPr>
          <w:p w14:paraId="75D2E874" w14:textId="74800094" w:rsidR="00AE72D8" w:rsidRPr="00F25DFF" w:rsidRDefault="00AE72D8" w:rsidP="00DA7657">
            <w:pPr>
              <w:pStyle w:val="Table8ptText-ASDEFCON"/>
            </w:pPr>
            <w:r w:rsidRPr="00F25DFF">
              <w:t>L</w:t>
            </w:r>
            <w:r w:rsidR="00EE7191">
              <w:rPr>
                <w:vertAlign w:val="subscript"/>
              </w:rPr>
              <w:t>n</w:t>
            </w:r>
          </w:p>
        </w:tc>
        <w:tc>
          <w:tcPr>
            <w:tcW w:w="7201" w:type="dxa"/>
            <w:shd w:val="clear" w:color="auto" w:fill="auto"/>
          </w:tcPr>
          <w:p w14:paraId="372CAEEA" w14:textId="1A3C35A3" w:rsidR="00AE72D8" w:rsidRPr="00F25DFF" w:rsidRDefault="00AE72D8" w:rsidP="00252380">
            <w:pPr>
              <w:pStyle w:val="Table8ptText-ASDEFCON"/>
            </w:pPr>
            <w:r>
              <w:t>the value</w:t>
            </w:r>
            <w:r w:rsidRPr="00F25DFF">
              <w:t xml:space="preserve"> </w:t>
            </w:r>
            <w:r>
              <w:t xml:space="preserve">(number) for the </w:t>
            </w:r>
            <w:r w:rsidR="00252380">
              <w:t>specific</w:t>
            </w:r>
            <w:r w:rsidR="007548E4">
              <w:t xml:space="preserve"> labour index</w:t>
            </w:r>
            <w:r w:rsidR="0088526B">
              <w:t xml:space="preserve"> (L</w:t>
            </w:r>
            <w:r w:rsidR="0088526B" w:rsidRPr="00E538C0">
              <w:rPr>
                <w:vertAlign w:val="subscript"/>
              </w:rPr>
              <w:t>i</w:t>
            </w:r>
            <w:r w:rsidR="0088526B">
              <w:t>)</w:t>
            </w:r>
            <w:r w:rsidR="007548E4">
              <w:t xml:space="preserve"> in the </w:t>
            </w:r>
            <w:r>
              <w:t xml:space="preserve">new pricing period, </w:t>
            </w:r>
            <w:r w:rsidR="007548E4">
              <w:t xml:space="preserve">where the labour index tracks price variations for a labour category in </w:t>
            </w:r>
            <w:r>
              <w:t>a currency.</w:t>
            </w:r>
          </w:p>
        </w:tc>
      </w:tr>
      <w:tr w:rsidR="00AE72D8" w:rsidRPr="00F25DFF" w14:paraId="6FA81A0C" w14:textId="77777777" w:rsidTr="00A9565E">
        <w:trPr>
          <w:cantSplit/>
        </w:trPr>
        <w:tc>
          <w:tcPr>
            <w:tcW w:w="709" w:type="dxa"/>
            <w:shd w:val="clear" w:color="auto" w:fill="auto"/>
          </w:tcPr>
          <w:p w14:paraId="38187F4D" w14:textId="77777777" w:rsidR="00AE72D8" w:rsidRPr="00F25DFF" w:rsidRDefault="00AE72D8" w:rsidP="00DA7657">
            <w:pPr>
              <w:pStyle w:val="Table8ptText-ASDEFCON"/>
            </w:pPr>
            <w:r w:rsidRPr="003B4D5A">
              <w:t>L</w:t>
            </w:r>
            <w:r w:rsidRPr="008C70A0">
              <w:rPr>
                <w:vertAlign w:val="subscript"/>
              </w:rPr>
              <w:t>0</w:t>
            </w:r>
          </w:p>
        </w:tc>
        <w:tc>
          <w:tcPr>
            <w:tcW w:w="7201" w:type="dxa"/>
            <w:shd w:val="clear" w:color="auto" w:fill="auto"/>
          </w:tcPr>
          <w:p w14:paraId="1ED86BB1" w14:textId="57C9EB9B" w:rsidR="00AE72D8" w:rsidRPr="00F25DFF" w:rsidRDefault="00AE72D8" w:rsidP="00252380">
            <w:pPr>
              <w:pStyle w:val="Table8ptText-ASDEFCON"/>
            </w:pPr>
            <w:r>
              <w:t>the value</w:t>
            </w:r>
            <w:r w:rsidRPr="00F25DFF">
              <w:t xml:space="preserve"> </w:t>
            </w:r>
            <w:r>
              <w:t xml:space="preserve">for </w:t>
            </w:r>
            <w:r w:rsidR="00252380">
              <w:t xml:space="preserve">the </w:t>
            </w:r>
            <w:r w:rsidR="007548E4">
              <w:t xml:space="preserve">specific </w:t>
            </w:r>
            <w:r w:rsidR="007548E4" w:rsidRPr="008243B5">
              <w:t xml:space="preserve">labour </w:t>
            </w:r>
            <w:r w:rsidR="007548E4" w:rsidRPr="00F25DFF">
              <w:t>index</w:t>
            </w:r>
            <w:r w:rsidR="0088526B">
              <w:t xml:space="preserve"> (L</w:t>
            </w:r>
            <w:r w:rsidR="0088526B" w:rsidRPr="00E538C0">
              <w:rPr>
                <w:vertAlign w:val="subscript"/>
              </w:rPr>
              <w:t>i</w:t>
            </w:r>
            <w:r w:rsidR="0088526B">
              <w:t>)</w:t>
            </w:r>
            <w:r w:rsidR="007548E4" w:rsidRPr="00F25DFF">
              <w:t xml:space="preserve"> </w:t>
            </w:r>
            <w:r w:rsidR="00252380">
              <w:t>for the</w:t>
            </w:r>
            <w:r>
              <w:t xml:space="preserve"> period </w:t>
            </w:r>
            <w:r w:rsidR="00252380">
              <w:t xml:space="preserve">containing the previous Adjustment Date </w:t>
            </w:r>
            <w:r>
              <w:t xml:space="preserve">or </w:t>
            </w:r>
            <w:r w:rsidRPr="00394F9F">
              <w:t>the Base Date</w:t>
            </w:r>
            <w:r>
              <w:t xml:space="preserve"> (for the first adjustment).</w:t>
            </w:r>
          </w:p>
        </w:tc>
      </w:tr>
    </w:tbl>
    <w:p w14:paraId="3FA0F807" w14:textId="77777777" w:rsidR="00B079FB" w:rsidRDefault="00B079FB" w:rsidP="00DA7657">
      <w:pPr>
        <w:pStyle w:val="ASDEFCONNormal"/>
      </w:pPr>
    </w:p>
    <w:p w14:paraId="699A0736" w14:textId="4CD5F2BD" w:rsidR="007B68ED" w:rsidRDefault="007B68ED" w:rsidP="00DA7657">
      <w:pPr>
        <w:pStyle w:val="COTCOCLV2-ASDEFCON"/>
      </w:pPr>
      <w:r>
        <w:t>Indices</w:t>
      </w:r>
    </w:p>
    <w:p w14:paraId="753242EA" w14:textId="4FD3EF83" w:rsidR="007B68ED" w:rsidRPr="002A29EA" w:rsidRDefault="007B68ED" w:rsidP="007B68ED">
      <w:pPr>
        <w:pStyle w:val="COTCOCLV3-ASDEFCON"/>
      </w:pPr>
      <w:r w:rsidRPr="002A29EA">
        <w:t>The</w:t>
      </w:r>
      <w:r>
        <w:t xml:space="preserve"> Australian and international</w:t>
      </w:r>
      <w:r w:rsidRPr="002A29EA">
        <w:t xml:space="preserve"> </w:t>
      </w:r>
      <w:r>
        <w:t>indices</w:t>
      </w:r>
      <w:r w:rsidRPr="002A29EA">
        <w:t xml:space="preserve"> </w:t>
      </w:r>
      <w:r w:rsidR="001C361E">
        <w:t xml:space="preserve">for the Contract, </w:t>
      </w:r>
      <w:r w:rsidR="0089751E">
        <w:t xml:space="preserve">and the </w:t>
      </w:r>
      <w:r w:rsidR="001C361E">
        <w:t>proportions attributed to</w:t>
      </w:r>
      <w:r w:rsidR="0089751E">
        <w:t xml:space="preserve"> </w:t>
      </w:r>
      <w:r w:rsidRPr="002A29EA">
        <w:t xml:space="preserve">labour </w:t>
      </w:r>
      <w:r>
        <w:t xml:space="preserve">and materials </w:t>
      </w:r>
      <w:r w:rsidRPr="002A29EA">
        <w:t>component</w:t>
      </w:r>
      <w:r>
        <w:t>s of the prices</w:t>
      </w:r>
      <w:r w:rsidR="001C361E">
        <w:t>,</w:t>
      </w:r>
      <w:r>
        <w:t xml:space="preserve"> are detailed in the file: </w:t>
      </w:r>
      <w:r w:rsidR="008042BF">
        <w:rPr>
          <w:b/>
        </w:rPr>
        <w:fldChar w:fldCharType="begin">
          <w:ffData>
            <w:name w:val="Text11"/>
            <w:enabled/>
            <w:calcOnExit w:val="0"/>
            <w:textInput>
              <w:default w:val="(…INSERT the file name for the “Adjustments” worksheet from the SPTPW…)"/>
            </w:textInput>
          </w:ffData>
        </w:fldChar>
      </w:r>
      <w:bookmarkStart w:id="127" w:name="Text11"/>
      <w:r w:rsidR="008042BF">
        <w:rPr>
          <w:b/>
        </w:rPr>
        <w:instrText xml:space="preserve"> FORMTEXT </w:instrText>
      </w:r>
      <w:r w:rsidR="008042BF">
        <w:rPr>
          <w:b/>
        </w:rPr>
      </w:r>
      <w:r w:rsidR="008042BF">
        <w:rPr>
          <w:b/>
        </w:rPr>
        <w:fldChar w:fldCharType="separate"/>
      </w:r>
      <w:r w:rsidR="008042BF">
        <w:rPr>
          <w:b/>
          <w:noProof/>
        </w:rPr>
        <w:t>(…INSERT the file name for the “Adjustments” worksheet from the SPTPW…)</w:t>
      </w:r>
      <w:r w:rsidR="008042BF">
        <w:rPr>
          <w:b/>
        </w:rPr>
        <w:fldChar w:fldCharType="end"/>
      </w:r>
      <w:bookmarkEnd w:id="127"/>
      <w:r>
        <w:t xml:space="preserve">, and forms Annex </w:t>
      </w:r>
      <w:r w:rsidR="008D7428">
        <w:t>F</w:t>
      </w:r>
      <w:r w:rsidR="00990D61">
        <w:t xml:space="preserve"> </w:t>
      </w:r>
      <w:r>
        <w:t>to this Attachment.</w:t>
      </w:r>
    </w:p>
    <w:p w14:paraId="02D53C44" w14:textId="6B10207A" w:rsidR="006877EB" w:rsidRDefault="006877EB" w:rsidP="00990D61">
      <w:pPr>
        <w:pStyle w:val="NoteToDrafters-ASDEFCON"/>
      </w:pPr>
      <w:r>
        <w:t xml:space="preserve">Note to drafters:  Include the </w:t>
      </w:r>
      <w:r w:rsidR="00484E1E">
        <w:t xml:space="preserve">following </w:t>
      </w:r>
      <w:r>
        <w:t xml:space="preserve">notes to tenderers </w:t>
      </w:r>
      <w:r w:rsidR="00484E1E">
        <w:t>when</w:t>
      </w:r>
      <w:r>
        <w:t xml:space="preserve"> the </w:t>
      </w:r>
      <w:r w:rsidR="00484E1E">
        <w:t xml:space="preserve">simple </w:t>
      </w:r>
      <w:r>
        <w:t xml:space="preserve">adjustment formula </w:t>
      </w:r>
      <w:r w:rsidR="00484E1E">
        <w:t xml:space="preserve">(ie, using only two indices per currency) is </w:t>
      </w:r>
      <w:r>
        <w:t xml:space="preserve">chosen under clause </w:t>
      </w:r>
      <w:r>
        <w:fldChar w:fldCharType="begin"/>
      </w:r>
      <w:r>
        <w:instrText xml:space="preserve"> REF _Ref83105267 \r \h </w:instrText>
      </w:r>
      <w:r>
        <w:fldChar w:fldCharType="separate"/>
      </w:r>
      <w:r w:rsidR="007B78E8">
        <w:t>7.2</w:t>
      </w:r>
      <w:r>
        <w:fldChar w:fldCharType="end"/>
      </w:r>
      <w:r>
        <w:t>.</w:t>
      </w:r>
      <w:r w:rsidR="00484E1E">
        <w:t xml:space="preserve">  </w:t>
      </w:r>
      <w:r w:rsidR="0088526B">
        <w:t>I</w:t>
      </w:r>
      <w:r w:rsidR="00252380">
        <w:t>f</w:t>
      </w:r>
      <w:r w:rsidR="00484E1E">
        <w:t xml:space="preserve"> the more </w:t>
      </w:r>
      <w:r w:rsidR="0088526B">
        <w:t>detailed</w:t>
      </w:r>
      <w:r w:rsidR="00484E1E">
        <w:t xml:space="preserve"> option </w:t>
      </w:r>
      <w:r w:rsidR="0088526B">
        <w:t xml:space="preserve">for price adjustment </w:t>
      </w:r>
      <w:r w:rsidR="00484E1E">
        <w:t>is required, seek advice from FIS.</w:t>
      </w:r>
    </w:p>
    <w:p w14:paraId="59926CF3" w14:textId="08B8AEEF" w:rsidR="00EF13FD" w:rsidRDefault="00850B28" w:rsidP="00DA7657">
      <w:pPr>
        <w:pStyle w:val="NoteToTenderers-ASDEFCON"/>
      </w:pPr>
      <w:r w:rsidRPr="008653AB">
        <w:t>Note to tenderers:</w:t>
      </w:r>
    </w:p>
    <w:p w14:paraId="1C700E95" w14:textId="4D96FC97" w:rsidR="00850B28" w:rsidRDefault="00B91C0D" w:rsidP="00891324">
      <w:pPr>
        <w:pStyle w:val="NoteToTenderers-ASDEFCON"/>
        <w:spacing w:before="120"/>
        <w:ind w:left="720" w:hanging="720"/>
      </w:pPr>
      <w:r>
        <w:t xml:space="preserve">Note </w:t>
      </w:r>
      <w:r w:rsidR="006664CB">
        <w:t>1</w:t>
      </w:r>
      <w:r>
        <w:t>:</w:t>
      </w:r>
      <w:r>
        <w:tab/>
      </w:r>
      <w:r w:rsidR="0062012C" w:rsidRPr="007B14E6">
        <w:t xml:space="preserve">For labour costs incurred </w:t>
      </w:r>
      <w:r w:rsidR="0062012C">
        <w:t>in Australia, t</w:t>
      </w:r>
      <w:r w:rsidR="00850B28" w:rsidRPr="008653AB">
        <w:t xml:space="preserve">he only Input based (cost of labour) index acceptable to the Commonwealth is ABS catalogue ‘Wage </w:t>
      </w:r>
      <w:r w:rsidR="00850B28">
        <w:t>Price</w:t>
      </w:r>
      <w:r w:rsidR="00850B28" w:rsidRPr="008653AB">
        <w:t xml:space="preserve"> Index’</w:t>
      </w:r>
      <w:r w:rsidR="00850B28">
        <w:t xml:space="preserve"> </w:t>
      </w:r>
      <w:r w:rsidR="006664CB">
        <w:t xml:space="preserve">- </w:t>
      </w:r>
      <w:r w:rsidR="00850B28">
        <w:t>Table 9B</w:t>
      </w:r>
      <w:r w:rsidR="00850B28" w:rsidRPr="008653AB">
        <w:t>.</w:t>
      </w:r>
    </w:p>
    <w:p w14:paraId="616A8D9A" w14:textId="264F02E6" w:rsidR="00EF13FD" w:rsidRDefault="007B14E6" w:rsidP="00FF2D33">
      <w:pPr>
        <w:pStyle w:val="NoteToTenderers-ASDEFCON"/>
        <w:spacing w:before="120"/>
        <w:ind w:left="720" w:hanging="720"/>
      </w:pPr>
      <w:r>
        <w:t xml:space="preserve">Note </w:t>
      </w:r>
      <w:r w:rsidR="006664CB">
        <w:t>2</w:t>
      </w:r>
      <w:r>
        <w:t>:</w:t>
      </w:r>
      <w:r>
        <w:tab/>
      </w:r>
      <w:r w:rsidRPr="007B14E6">
        <w:t>For labour costs incurred overseas, the labour index must be an appropriate index published by an agency of the relevant Government.</w:t>
      </w:r>
    </w:p>
    <w:p w14:paraId="4FC7394A" w14:textId="7FE374F7" w:rsidR="00EF13FD" w:rsidRDefault="00B91C0D" w:rsidP="00891324">
      <w:pPr>
        <w:pStyle w:val="NoteToTenderers-ASDEFCON"/>
        <w:ind w:left="720" w:hanging="720"/>
      </w:pPr>
      <w:r>
        <w:t xml:space="preserve">Note </w:t>
      </w:r>
      <w:r w:rsidR="006664CB">
        <w:t>3</w:t>
      </w:r>
      <w:r>
        <w:t>:</w:t>
      </w:r>
      <w:r>
        <w:tab/>
      </w:r>
      <w:r w:rsidR="00850B28" w:rsidRPr="008653AB">
        <w:t xml:space="preserve">For the Australian materials component, </w:t>
      </w:r>
      <w:r>
        <w:t>ABS catalogue ‘Producer Price Indexes, Australia’</w:t>
      </w:r>
      <w:r w:rsidR="006664CB">
        <w:t xml:space="preserve"> – Table 12</w:t>
      </w:r>
      <w:r>
        <w:t xml:space="preserve"> should be utilised.</w:t>
      </w:r>
    </w:p>
    <w:p w14:paraId="039BAEDE" w14:textId="35B76D49" w:rsidR="00CD451E" w:rsidRDefault="00B91C0D" w:rsidP="00891324">
      <w:pPr>
        <w:pStyle w:val="NoteToTenderers-ASDEFCON"/>
        <w:ind w:left="720" w:hanging="720"/>
      </w:pPr>
      <w:r>
        <w:t xml:space="preserve">Note </w:t>
      </w:r>
      <w:r w:rsidR="006664CB">
        <w:t>4</w:t>
      </w:r>
      <w:r>
        <w:t>:</w:t>
      </w:r>
      <w:r>
        <w:tab/>
      </w:r>
      <w:r w:rsidR="00484E1E">
        <w:t>F</w:t>
      </w:r>
      <w:r w:rsidR="00850B28" w:rsidRPr="008653AB">
        <w:t xml:space="preserve">or </w:t>
      </w:r>
      <w:r w:rsidR="00484E1E">
        <w:t xml:space="preserve">the </w:t>
      </w:r>
      <w:r w:rsidR="00850B28" w:rsidRPr="008653AB">
        <w:t>imported materials</w:t>
      </w:r>
      <w:r w:rsidR="00484E1E">
        <w:t xml:space="preserve"> component</w:t>
      </w:r>
      <w:r w:rsidR="00850B28" w:rsidRPr="008653AB">
        <w:t xml:space="preserve">, the </w:t>
      </w:r>
      <w:r w:rsidR="00850B28" w:rsidRPr="004D1BA9">
        <w:t>index must be appropriate and published by an agency of the relevant Government.</w:t>
      </w:r>
    </w:p>
    <w:p w14:paraId="3DB3DEFD" w14:textId="69CB4975" w:rsidR="001822FD" w:rsidRDefault="001822FD" w:rsidP="00DA7657">
      <w:pPr>
        <w:pStyle w:val="ASDEFCONNormal"/>
      </w:pPr>
      <w:bookmarkStart w:id="128" w:name="_Hlt102552554"/>
      <w:bookmarkStart w:id="129" w:name="_Hlt103049930"/>
      <w:bookmarkStart w:id="130" w:name="_Hlt96426168"/>
      <w:bookmarkEnd w:id="128"/>
      <w:bookmarkEnd w:id="129"/>
      <w:bookmarkEnd w:id="130"/>
    </w:p>
    <w:p w14:paraId="22DE062B" w14:textId="77777777" w:rsidR="00086824" w:rsidRDefault="00086824" w:rsidP="00DA7657">
      <w:pPr>
        <w:pStyle w:val="COTCOCLV1-ASDEFCON"/>
      </w:pPr>
      <w:bookmarkStart w:id="131" w:name="_Toc74636438"/>
      <w:bookmarkStart w:id="132" w:name="_Toc97811153"/>
      <w:r>
        <w:t>Australian Contract Expenditure (CORE)</w:t>
      </w:r>
      <w:bookmarkEnd w:id="131"/>
      <w:bookmarkEnd w:id="132"/>
    </w:p>
    <w:p w14:paraId="0F4360BD" w14:textId="106B4AF0" w:rsidR="00086824" w:rsidRDefault="00086824" w:rsidP="00DA7657">
      <w:pPr>
        <w:pStyle w:val="COTCOCLV2-ASDEFCON"/>
      </w:pPr>
      <w:r>
        <w:t>Australian Cont</w:t>
      </w:r>
      <w:r w:rsidR="00BD49BB">
        <w:t>r</w:t>
      </w:r>
      <w:r>
        <w:t>act Expenditure Amounts</w:t>
      </w:r>
      <w:r w:rsidR="00177357">
        <w:t xml:space="preserve"> (Core)</w:t>
      </w:r>
    </w:p>
    <w:p w14:paraId="24066101" w14:textId="576EF5CA" w:rsidR="000A6ED3" w:rsidRPr="00CF4D9B" w:rsidRDefault="000A6ED3" w:rsidP="00DA7657">
      <w:pPr>
        <w:pStyle w:val="Note-ASDEFCON"/>
      </w:pPr>
      <w:r>
        <w:t xml:space="preserve">Note: The following formula is built into the Support Pricing Workbook (SPTPW) for applicable </w:t>
      </w:r>
      <w:r w:rsidR="007D5C4F">
        <w:t xml:space="preserve">worksheets and </w:t>
      </w:r>
      <w:r>
        <w:t>component price calculations.</w:t>
      </w:r>
    </w:p>
    <w:p w14:paraId="22A76B75" w14:textId="79E2C517" w:rsidR="000A6ED3" w:rsidRDefault="00C01AEC" w:rsidP="000A6ED3">
      <w:pPr>
        <w:pStyle w:val="COTCOCLV3-ASDEFCON"/>
      </w:pPr>
      <w:bookmarkStart w:id="133" w:name="_Ref83222967"/>
      <w:r>
        <w:t>Amounts for</w:t>
      </w:r>
      <w:r w:rsidR="00737EE7">
        <w:t xml:space="preserve"> </w:t>
      </w:r>
      <w:r w:rsidR="00D863E5">
        <w:t xml:space="preserve">planned </w:t>
      </w:r>
      <w:r w:rsidR="00737EE7">
        <w:t>Australian Cont</w:t>
      </w:r>
      <w:r w:rsidR="00BD49BB">
        <w:t>r</w:t>
      </w:r>
      <w:r w:rsidR="00737EE7">
        <w:t>act Expenditure (ACE)</w:t>
      </w:r>
      <w:r w:rsidR="007D5C4F">
        <w:t xml:space="preserve"> and </w:t>
      </w:r>
      <w:r w:rsidR="00D863E5">
        <w:t xml:space="preserve">planned </w:t>
      </w:r>
      <w:r w:rsidR="007D5C4F">
        <w:t>Imported Cont</w:t>
      </w:r>
      <w:r w:rsidR="00BD49BB">
        <w:t>r</w:t>
      </w:r>
      <w:r w:rsidR="007D5C4F">
        <w:t xml:space="preserve">act Expenditure (ICE) are </w:t>
      </w:r>
      <w:r w:rsidR="00737EE7">
        <w:t xml:space="preserve">to be </w:t>
      </w:r>
      <w:r w:rsidR="000A6ED3">
        <w:t>determined</w:t>
      </w:r>
      <w:r w:rsidR="00737EE7">
        <w:t xml:space="preserve"> in accordance w</w:t>
      </w:r>
      <w:bookmarkStart w:id="134" w:name="_GoBack"/>
      <w:bookmarkEnd w:id="134"/>
      <w:r w:rsidR="00737EE7">
        <w:t>ith clause 7.15</w:t>
      </w:r>
      <w:r w:rsidR="00737EE7" w:rsidRPr="00BC2EB3">
        <w:t xml:space="preserve"> </w:t>
      </w:r>
      <w:r w:rsidR="000A6ED3">
        <w:t>of the COC</w:t>
      </w:r>
      <w:r w:rsidR="000E3773">
        <w:t>,</w:t>
      </w:r>
      <w:r w:rsidR="000A6ED3">
        <w:t xml:space="preserve"> and</w:t>
      </w:r>
      <w:r w:rsidR="00AB41C2">
        <w:t xml:space="preserve"> </w:t>
      </w:r>
      <w:r>
        <w:t xml:space="preserve">when required to be </w:t>
      </w:r>
      <w:r w:rsidR="000E3773">
        <w:t>forecast for applicable payment types</w:t>
      </w:r>
      <w:r>
        <w:t xml:space="preserve"> under the Contract, </w:t>
      </w:r>
      <w:r w:rsidR="000A6ED3">
        <w:t>a</w:t>
      </w:r>
      <w:r w:rsidR="000E3773">
        <w:t xml:space="preserve"> calculated</w:t>
      </w:r>
      <w:r w:rsidR="000A6ED3">
        <w:t xml:space="preserve"> ACE percentage is </w:t>
      </w:r>
      <w:r>
        <w:t>to be determined</w:t>
      </w:r>
      <w:r w:rsidR="000A6ED3">
        <w:t xml:space="preserve"> in accordance with the following formula:</w:t>
      </w:r>
      <w:bookmarkEnd w:id="133"/>
    </w:p>
    <w:p w14:paraId="0BD22EEA" w14:textId="254D175E" w:rsidR="000A6ED3" w:rsidRPr="0087367E" w:rsidRDefault="00521AF6" w:rsidP="00DA7657">
      <w:pPr>
        <w:pStyle w:val="ASDEFCONNormal"/>
      </w:pPr>
      <m:oMathPara>
        <m:oMath>
          <m:r>
            <w:rPr>
              <w:rFonts w:ascii="Cambria Math" w:hAnsi="Cambria Math"/>
            </w:rPr>
            <m:t>calculated ACE</m:t>
          </m:r>
          <m:r>
            <m:rPr>
              <m:sty m:val="p"/>
            </m:rPr>
            <w:rPr>
              <w:rFonts w:ascii="Cambria Math" w:hAnsi="Cambria Math"/>
            </w:rPr>
            <m:t>%=</m:t>
          </m:r>
          <m:f>
            <m:fPr>
              <m:ctrlPr>
                <w:rPr>
                  <w:rFonts w:ascii="Cambria Math" w:hAnsi="Cambria Math"/>
                </w:rPr>
              </m:ctrlPr>
            </m:fPr>
            <m:num>
              <m:r>
                <w:rPr>
                  <w:rFonts w:ascii="Cambria Math" w:hAnsi="Cambria Math"/>
                </w:rPr>
                <m:t>planned ACE</m:t>
              </m:r>
            </m:num>
            <m:den>
              <m:r>
                <w:rPr>
                  <w:rFonts w:ascii="Cambria Math" w:hAnsi="Cambria Math"/>
                </w:rPr>
                <m:t>planned ACE</m:t>
              </m:r>
              <m:r>
                <m:rPr>
                  <m:sty m:val="p"/>
                </m:rPr>
                <w:rPr>
                  <w:rFonts w:ascii="Cambria Math" w:hAnsi="Cambria Math"/>
                </w:rPr>
                <m:t>+</m:t>
              </m:r>
              <m:r>
                <w:rPr>
                  <w:rFonts w:ascii="Cambria Math" w:hAnsi="Cambria Math"/>
                </w:rPr>
                <m:t>planned</m:t>
              </m:r>
              <m:r>
                <m:rPr>
                  <m:sty m:val="p"/>
                </m:rPr>
                <w:rPr>
                  <w:rFonts w:ascii="Cambria Math" w:hAnsi="Cambria Math"/>
                </w:rPr>
                <m:t xml:space="preserve"> </m:t>
              </m:r>
              <m:r>
                <w:rPr>
                  <w:rFonts w:ascii="Cambria Math" w:hAnsi="Cambria Math"/>
                </w:rPr>
                <m:t>ICE</m:t>
              </m:r>
            </m:den>
          </m:f>
          <m:r>
            <m:rPr>
              <m:sty m:val="p"/>
            </m:rPr>
            <w:rPr>
              <w:rFonts w:ascii="Cambria Math" w:hAnsi="Cambria Math"/>
            </w:rPr>
            <m:t>*100</m:t>
          </m:r>
        </m:oMath>
      </m:oMathPara>
    </w:p>
    <w:p w14:paraId="0A54FB5E" w14:textId="52B21F6C" w:rsidR="00623908" w:rsidRDefault="009F7827" w:rsidP="00C65436">
      <w:pPr>
        <w:pStyle w:val="NoteToDrafters-ASDEFCON"/>
      </w:pPr>
      <w:r>
        <w:t xml:space="preserve">Note to </w:t>
      </w:r>
      <w:r w:rsidR="00B856BB">
        <w:t xml:space="preserve">drafters: </w:t>
      </w:r>
      <w:r w:rsidR="0054744A">
        <w:t>If</w:t>
      </w:r>
      <w:r w:rsidR="00570F65">
        <w:t xml:space="preserve"> the Recurring Services Fee for the Contract is expected to exceed A$20 million per annum, the</w:t>
      </w:r>
      <w:r w:rsidR="0054744A">
        <w:t>n</w:t>
      </w:r>
      <w:r w:rsidR="00570F65">
        <w:t xml:space="preserve"> Prescribed ACE Percentages </w:t>
      </w:r>
      <w:r w:rsidR="000636B3">
        <w:t xml:space="preserve">against the Recurring Services Fee </w:t>
      </w:r>
      <w:r w:rsidR="00570F65">
        <w:t xml:space="preserve">will be </w:t>
      </w:r>
      <w:r w:rsidR="0054744A">
        <w:t>included</w:t>
      </w:r>
      <w:r w:rsidR="00570F65">
        <w:t xml:space="preserve"> </w:t>
      </w:r>
      <w:r w:rsidR="0054744A">
        <w:t>at</w:t>
      </w:r>
      <w:r w:rsidR="00570F65">
        <w:t xml:space="preserve"> Attachment F</w:t>
      </w:r>
      <w:r w:rsidR="00EE1733">
        <w:t xml:space="preserve"> (refer to Attachment F and TDR H)</w:t>
      </w:r>
      <w:r w:rsidR="00570F65">
        <w:t xml:space="preserve">.  Option A, below, </w:t>
      </w:r>
      <w:r w:rsidR="0054744A">
        <w:t>is to</w:t>
      </w:r>
      <w:r w:rsidR="00570F65">
        <w:t xml:space="preserve"> be included when any resultant Contract </w:t>
      </w:r>
      <w:r w:rsidR="0054744A">
        <w:t>will</w:t>
      </w:r>
      <w:r w:rsidR="00570F65">
        <w:t xml:space="preserve"> </w:t>
      </w:r>
      <w:r w:rsidR="002673EB">
        <w:t>NOT</w:t>
      </w:r>
      <w:r w:rsidR="00570F65">
        <w:t xml:space="preserve"> </w:t>
      </w:r>
      <w:r w:rsidR="0054744A">
        <w:t>include</w:t>
      </w:r>
      <w:r w:rsidR="00570F65">
        <w:t xml:space="preserve"> Prescribed ACE Percentages, while Option B </w:t>
      </w:r>
      <w:r w:rsidR="0054744A">
        <w:t>is to</w:t>
      </w:r>
      <w:r w:rsidR="00570F65">
        <w:t xml:space="preserve"> be included </w:t>
      </w:r>
      <w:r w:rsidR="0054744A">
        <w:t>when</w:t>
      </w:r>
      <w:r w:rsidR="00570F65">
        <w:t xml:space="preserve"> any re</w:t>
      </w:r>
      <w:r w:rsidR="0054744A">
        <w:t xml:space="preserve">sultant Contract </w:t>
      </w:r>
      <w:r w:rsidR="002673EB">
        <w:t xml:space="preserve">WILL </w:t>
      </w:r>
      <w:r w:rsidR="0054744A">
        <w:t>include Prescribed ACE Percentages.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93848" w14:paraId="743B31C6" w14:textId="77777777" w:rsidTr="00C93848">
        <w:tc>
          <w:tcPr>
            <w:tcW w:w="9071" w:type="dxa"/>
            <w:shd w:val="clear" w:color="auto" w:fill="auto"/>
          </w:tcPr>
          <w:p w14:paraId="1DF175D6" w14:textId="55EEF407" w:rsidR="00C93848" w:rsidRDefault="00C93848" w:rsidP="00C93848">
            <w:pPr>
              <w:pStyle w:val="ASDEFCONOption"/>
            </w:pPr>
            <w:r>
              <w:t>Option A: Include this option if the Contract will NOT include Prescribed ACE Percentages.</w:t>
            </w:r>
          </w:p>
          <w:p w14:paraId="62DA855D" w14:textId="45EE8E8D" w:rsidR="00C93848" w:rsidRDefault="00C93848" w:rsidP="00A94AF2">
            <w:pPr>
              <w:pStyle w:val="COTCOCLV3-ASDEFCON"/>
            </w:pPr>
            <w:r>
              <w:t xml:space="preserve">Where the Contractor is required to forecast </w:t>
            </w:r>
            <w:r w:rsidR="00A94AF2">
              <w:t xml:space="preserve">a </w:t>
            </w:r>
            <w:r w:rsidR="001F10D5">
              <w:t>calculate</w:t>
            </w:r>
            <w:r w:rsidR="00A94AF2">
              <w:t>d</w:t>
            </w:r>
            <w:r>
              <w:t xml:space="preserve"> ACE percentage </w:t>
            </w:r>
            <w:r w:rsidR="007A6256">
              <w:t>for Recurring Services Fees</w:t>
            </w:r>
            <w:r w:rsidR="00A94AF2">
              <w:t>,</w:t>
            </w:r>
            <w:r w:rsidR="001F10D5">
              <w:t xml:space="preserve"> for a given period</w:t>
            </w:r>
            <w:r w:rsidR="007A6256">
              <w:t xml:space="preserve"> under the Contract</w:t>
            </w:r>
            <w:r w:rsidR="001F10D5">
              <w:t xml:space="preserve"> (eg, an annual reporting period for a Contract Status Report)</w:t>
            </w:r>
            <w:r>
              <w:t xml:space="preserve">, the Contractor shall use the ACE percentages from the </w:t>
            </w:r>
            <w:r w:rsidR="007A6256">
              <w:t>schedules to Annex B (</w:t>
            </w:r>
            <w:r w:rsidR="00570F65">
              <w:t xml:space="preserve">calculated </w:t>
            </w:r>
            <w:r w:rsidR="007A6256">
              <w:t xml:space="preserve">from the </w:t>
            </w:r>
            <w:r>
              <w:t xml:space="preserve">applicable worksheets </w:t>
            </w:r>
            <w:r w:rsidR="007A6256">
              <w:t>of</w:t>
            </w:r>
            <w:r>
              <w:t xml:space="preserve"> the Support Pricing Workbook</w:t>
            </w:r>
            <w:r w:rsidR="007A6256">
              <w:t>)</w:t>
            </w:r>
            <w:r>
              <w:t xml:space="preserve"> or </w:t>
            </w:r>
            <w:r w:rsidR="005E751C">
              <w:t xml:space="preserve">provide </w:t>
            </w:r>
            <w:r w:rsidR="007A6256">
              <w:t xml:space="preserve">justification </w:t>
            </w:r>
            <w:r>
              <w:t xml:space="preserve">to the Commonwealth, in writing, </w:t>
            </w:r>
            <w:r w:rsidR="005E751C">
              <w:t>for</w:t>
            </w:r>
            <w:r w:rsidR="005E751C" w:rsidRPr="009F7827">
              <w:t xml:space="preserve"> </w:t>
            </w:r>
            <w:r>
              <w:t>the use of</w:t>
            </w:r>
            <w:r w:rsidR="005E751C">
              <w:t xml:space="preserve"> any </w:t>
            </w:r>
            <w:r>
              <w:t xml:space="preserve">alternative </w:t>
            </w:r>
            <w:r w:rsidR="005E751C">
              <w:t>estimate</w:t>
            </w:r>
            <w:r>
              <w:t>.</w:t>
            </w:r>
          </w:p>
        </w:tc>
      </w:tr>
    </w:tbl>
    <w:p w14:paraId="42ED1468" w14:textId="1DACC2A0" w:rsidR="00623908" w:rsidRDefault="00623908" w:rsidP="00DA7657">
      <w:pPr>
        <w:pStyle w:val="ASDEFCONOptionSpace"/>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14AFD" w14:paraId="65E95EF9" w14:textId="77777777" w:rsidTr="00A250CD">
        <w:tc>
          <w:tcPr>
            <w:tcW w:w="9071" w:type="dxa"/>
            <w:shd w:val="clear" w:color="auto" w:fill="auto"/>
          </w:tcPr>
          <w:p w14:paraId="44ED62F4" w14:textId="01FB3273" w:rsidR="00214AFD" w:rsidRDefault="00214AFD" w:rsidP="00214AFD">
            <w:pPr>
              <w:pStyle w:val="ASDEFCONOption"/>
            </w:pPr>
            <w:r>
              <w:t>Option B: Include this option if the Contract WILL include Prescribed ACE Percentages.</w:t>
            </w:r>
          </w:p>
          <w:p w14:paraId="61FA0514" w14:textId="09AC2234" w:rsidR="00214AFD" w:rsidRDefault="00214AFD" w:rsidP="00214AFD">
            <w:pPr>
              <w:pStyle w:val="COTCOCLV3-ASDEFCON"/>
            </w:pPr>
            <w:r>
              <w:t xml:space="preserve">For Recurring Services (including Core Services and, if applicable, Excluded Services), </w:t>
            </w:r>
            <w:r>
              <w:fldChar w:fldCharType="begin"/>
            </w:r>
            <w:r>
              <w:instrText xml:space="preserve"> REF _Ref47944345 \h </w:instrText>
            </w:r>
            <w:r>
              <w:fldChar w:fldCharType="separate"/>
            </w:r>
            <w:r w:rsidR="007B78E8">
              <w:t>Table B-</w:t>
            </w:r>
            <w:r w:rsidR="007B78E8">
              <w:rPr>
                <w:noProof/>
              </w:rPr>
              <w:t>1</w:t>
            </w:r>
            <w:r>
              <w:fldChar w:fldCharType="end"/>
            </w:r>
            <w:r>
              <w:t xml:space="preserve"> identifies:</w:t>
            </w:r>
          </w:p>
          <w:p w14:paraId="4FA1B352" w14:textId="7A30500A" w:rsidR="00214AFD" w:rsidRDefault="00214AFD" w:rsidP="000C2509">
            <w:pPr>
              <w:pStyle w:val="COTCOCLV4-ASDEFCON"/>
            </w:pPr>
            <w:r>
              <w:t xml:space="preserve">each </w:t>
            </w:r>
            <w:r w:rsidR="00B62BAD">
              <w:t xml:space="preserve">ACE measurement period, including the </w:t>
            </w:r>
            <w:r>
              <w:t xml:space="preserve">ACE Measurement Point (column </w:t>
            </w:r>
            <w:r w:rsidR="003E0530">
              <w:t>as defined in</w:t>
            </w:r>
            <w:r>
              <w:t xml:space="preserve"> Attachment F;</w:t>
            </w:r>
          </w:p>
          <w:p w14:paraId="09692F94" w14:textId="1306F690" w:rsidR="00214AFD" w:rsidRDefault="00214AFD" w:rsidP="000C2509">
            <w:pPr>
              <w:pStyle w:val="COTCOCLV4-ASDEFCON"/>
            </w:pPr>
            <w:r>
              <w:t>the</w:t>
            </w:r>
            <w:r w:rsidRPr="00DC2AE1">
              <w:t xml:space="preserve"> </w:t>
            </w:r>
            <w:r w:rsidR="00521AF6">
              <w:t xml:space="preserve">planned </w:t>
            </w:r>
            <w:r>
              <w:t>ACE</w:t>
            </w:r>
            <w:r w:rsidRPr="00683764">
              <w:t xml:space="preserve"> </w:t>
            </w:r>
            <w:r w:rsidR="00B62BAD">
              <w:t xml:space="preserve">amount </w:t>
            </w:r>
            <w:r>
              <w:t xml:space="preserve">(column b) and the </w:t>
            </w:r>
            <w:r w:rsidR="00521AF6">
              <w:t xml:space="preserve">planned </w:t>
            </w:r>
            <w:r>
              <w:t xml:space="preserve">ICE </w:t>
            </w:r>
            <w:r w:rsidR="00B62BAD">
              <w:t xml:space="preserve">amount </w:t>
            </w:r>
            <w:r>
              <w:t xml:space="preserve">(column c) </w:t>
            </w:r>
            <w:r w:rsidR="00B62BAD">
              <w:t>for the applicable</w:t>
            </w:r>
            <w:r>
              <w:t xml:space="preserve"> ACE </w:t>
            </w:r>
            <w:r w:rsidR="00B62BAD">
              <w:t>m</w:t>
            </w:r>
            <w:r>
              <w:t xml:space="preserve">easurement </w:t>
            </w:r>
            <w:r w:rsidR="00B62BAD">
              <w:t>period,</w:t>
            </w:r>
            <w:r>
              <w:t xml:space="preserve"> using the pricing details contained in Annex B to this Attachment B; and</w:t>
            </w:r>
          </w:p>
          <w:p w14:paraId="2352EBA0" w14:textId="0702E584" w:rsidR="00214AFD" w:rsidRDefault="00214AFD" w:rsidP="000C2509">
            <w:pPr>
              <w:pStyle w:val="COTCOCLV4-ASDEFCON"/>
            </w:pPr>
            <w:r>
              <w:t xml:space="preserve">a calculated ACE percentage (column d), calculated in accordance with clause </w:t>
            </w:r>
            <w:r>
              <w:fldChar w:fldCharType="begin"/>
            </w:r>
            <w:r>
              <w:instrText xml:space="preserve"> REF _Ref83222967 \r \h </w:instrText>
            </w:r>
            <w:r>
              <w:fldChar w:fldCharType="separate"/>
            </w:r>
            <w:r w:rsidR="007B78E8">
              <w:t>8.1.1</w:t>
            </w:r>
            <w:r>
              <w:fldChar w:fldCharType="end"/>
            </w:r>
            <w:r>
              <w:t>.</w:t>
            </w:r>
          </w:p>
          <w:p w14:paraId="53D1E7E1" w14:textId="5FDD3680" w:rsidR="00214AFD" w:rsidRDefault="00214AFD" w:rsidP="00214AFD">
            <w:pPr>
              <w:pStyle w:val="COTCOCLV3-ASDEFCON"/>
            </w:pPr>
            <w:r>
              <w:t>The Prescribed ACE Percentage</w:t>
            </w:r>
            <w:r w:rsidR="00D863E5">
              <w:t>s,</w:t>
            </w:r>
            <w:r>
              <w:t xml:space="preserve"> included at Attachment F as AIC Obligation</w:t>
            </w:r>
            <w:r w:rsidR="00D863E5">
              <w:t>s,</w:t>
            </w:r>
            <w:r>
              <w:t xml:space="preserve"> shall be based on the corresponding calculated ACE Percentage</w:t>
            </w:r>
            <w:r w:rsidR="00D863E5">
              <w:t>s</w:t>
            </w:r>
            <w:r>
              <w:t xml:space="preserve"> in </w:t>
            </w:r>
            <w:r>
              <w:fldChar w:fldCharType="begin"/>
            </w:r>
            <w:r>
              <w:instrText xml:space="preserve"> REF _Ref47944345 \h </w:instrText>
            </w:r>
            <w:r>
              <w:fldChar w:fldCharType="separate"/>
            </w:r>
            <w:r w:rsidR="007B78E8">
              <w:t>Table B-</w:t>
            </w:r>
            <w:r w:rsidR="007B78E8">
              <w:rPr>
                <w:noProof/>
              </w:rPr>
              <w:t>1</w:t>
            </w:r>
            <w:r>
              <w:fldChar w:fldCharType="end"/>
            </w:r>
            <w:r>
              <w:t>.</w:t>
            </w:r>
          </w:p>
          <w:p w14:paraId="5E56C10C" w14:textId="68883BF2" w:rsidR="0065700D" w:rsidRDefault="0065700D" w:rsidP="00C52E8B">
            <w:pPr>
              <w:pStyle w:val="Note-ASDEFCON"/>
            </w:pPr>
            <w:r>
              <w:t>Note:  The Prescribed ACE Percentage may be different to the calculated ACE percentage.</w:t>
            </w:r>
          </w:p>
          <w:p w14:paraId="52A60F9C" w14:textId="510631B3" w:rsidR="00214AFD" w:rsidRDefault="00214AFD" w:rsidP="00086824">
            <w:pPr>
              <w:pStyle w:val="COTCOCLV3-ASDEFCON"/>
            </w:pPr>
            <w:r>
              <w:t xml:space="preserve">For each CCP prepared in accordance with clause 11.1 of the COC that affects the </w:t>
            </w:r>
            <w:r w:rsidR="0065700D">
              <w:t xml:space="preserve">planned </w:t>
            </w:r>
            <w:r>
              <w:t xml:space="preserve">ACE and/or </w:t>
            </w:r>
            <w:r w:rsidR="0065700D">
              <w:t xml:space="preserve">planned </w:t>
            </w:r>
            <w:r>
              <w:t xml:space="preserve">ICE values in </w:t>
            </w:r>
            <w:r>
              <w:fldChar w:fldCharType="begin"/>
            </w:r>
            <w:r>
              <w:instrText xml:space="preserve"> REF _Ref47944345 \h </w:instrText>
            </w:r>
            <w:r>
              <w:fldChar w:fldCharType="separate"/>
            </w:r>
            <w:r w:rsidR="007B78E8">
              <w:t>Table B-</w:t>
            </w:r>
            <w:r w:rsidR="007B78E8">
              <w:rPr>
                <w:noProof/>
              </w:rPr>
              <w:t>1</w:t>
            </w:r>
            <w:r>
              <w:fldChar w:fldCharType="end"/>
            </w:r>
            <w:r>
              <w:t>, the Contract</w:t>
            </w:r>
            <w:r w:rsidRPr="00C071C2">
              <w:t>or</w:t>
            </w:r>
            <w:r>
              <w:t xml:space="preserve"> shall prepare, as part of the CCP, changes to </w:t>
            </w:r>
            <w:r>
              <w:fldChar w:fldCharType="begin"/>
            </w:r>
            <w:r>
              <w:instrText xml:space="preserve"> REF _Ref47944345 \h </w:instrText>
            </w:r>
            <w:r>
              <w:fldChar w:fldCharType="separate"/>
            </w:r>
            <w:r w:rsidR="007B78E8">
              <w:t>Table B-</w:t>
            </w:r>
            <w:r w:rsidR="007B78E8">
              <w:rPr>
                <w:noProof/>
              </w:rPr>
              <w:t>1</w:t>
            </w:r>
            <w:r>
              <w:fldChar w:fldCharType="end"/>
            </w:r>
            <w:r>
              <w:t xml:space="preserve"> and, when applicable, changes to the Prescribed ACE Percentages under clause 4 of Attachment F.</w:t>
            </w:r>
          </w:p>
          <w:p w14:paraId="36179526" w14:textId="0B0E2883" w:rsidR="00A250CD" w:rsidRDefault="00E01BA9" w:rsidP="00A250CD">
            <w:pPr>
              <w:pStyle w:val="NoteToDrafters-ASDEFCON"/>
            </w:pPr>
            <w:r>
              <w:t>Note to drafters:  ACE m</w:t>
            </w:r>
            <w:r w:rsidR="00A250CD">
              <w:t xml:space="preserve">easurement </w:t>
            </w:r>
            <w:r>
              <w:t>periods</w:t>
            </w:r>
            <w:r w:rsidR="00A250CD">
              <w:t xml:space="preserve"> </w:t>
            </w:r>
            <w:r w:rsidR="00B023F3">
              <w:t xml:space="preserve">will generally </w:t>
            </w:r>
            <w:r w:rsidR="00A250CD">
              <w:t xml:space="preserve">correspond to the </w:t>
            </w:r>
            <w:r w:rsidR="00B023F3">
              <w:t>pricing period</w:t>
            </w:r>
            <w:r>
              <w:t>s</w:t>
            </w:r>
            <w:r w:rsidR="00A250CD">
              <w:t xml:space="preserve"> for the Core Services Fee</w:t>
            </w:r>
            <w:r>
              <w:t>s</w:t>
            </w:r>
            <w:r w:rsidR="00B023F3">
              <w:t xml:space="preserve">, during Ramp Up and then on an annual basis.  If </w:t>
            </w:r>
            <w:r w:rsidR="00DD564D">
              <w:t>a</w:t>
            </w:r>
            <w:r w:rsidR="00B023F3">
              <w:t xml:space="preserve"> Ramp Up stage is relatively short, the Commonwealth may </w:t>
            </w:r>
            <w:r>
              <w:t>combine</w:t>
            </w:r>
            <w:r w:rsidR="00B023F3">
              <w:t xml:space="preserve"> two stages before </w:t>
            </w:r>
            <w:r w:rsidR="00DD564D">
              <w:t xml:space="preserve">scheduling </w:t>
            </w:r>
            <w:r w:rsidR="00B023F3">
              <w:t>an ACE Measurement Point</w:t>
            </w:r>
            <w:r w:rsidR="00A250CD">
              <w:t>.</w:t>
            </w:r>
            <w:r w:rsidR="00B023F3">
              <w:t xml:space="preserve">  Drafters need to ensure that ACE Measurement Points </w:t>
            </w:r>
            <w:r w:rsidR="00E3303D">
              <w:t xml:space="preserve">in </w:t>
            </w:r>
            <w:r w:rsidR="00E3303D">
              <w:fldChar w:fldCharType="begin"/>
            </w:r>
            <w:r w:rsidR="00E3303D">
              <w:instrText xml:space="preserve"> REF _Ref47944345 \h </w:instrText>
            </w:r>
            <w:r w:rsidR="00E3303D">
              <w:fldChar w:fldCharType="separate"/>
            </w:r>
            <w:r w:rsidR="007B78E8">
              <w:t>Table B-</w:t>
            </w:r>
            <w:r w:rsidR="007B78E8">
              <w:rPr>
                <w:noProof/>
              </w:rPr>
              <w:t>1</w:t>
            </w:r>
            <w:r w:rsidR="00E3303D">
              <w:fldChar w:fldCharType="end"/>
            </w:r>
            <w:r w:rsidR="00E3303D">
              <w:t xml:space="preserve"> and</w:t>
            </w:r>
            <w:r w:rsidR="00B023F3">
              <w:t xml:space="preserve"> Attachment F are the same.</w:t>
            </w:r>
          </w:p>
          <w:p w14:paraId="28B54693" w14:textId="6128D007" w:rsidR="00F74782" w:rsidRPr="009D5A16" w:rsidRDefault="00F74782" w:rsidP="00F74782">
            <w:pPr>
              <w:pStyle w:val="NoteToTenderers-ASDEFCON"/>
            </w:pPr>
            <w:r>
              <w:t xml:space="preserve">Note to tenderers:  </w:t>
            </w:r>
            <w:r w:rsidR="00DD564D">
              <w:t>TDR H</w:t>
            </w:r>
            <w:r w:rsidR="00FB1192">
              <w:t>-3</w:t>
            </w:r>
            <w:r w:rsidR="00DD564D">
              <w:t xml:space="preserve"> requires t</w:t>
            </w:r>
            <w:r>
              <w:t xml:space="preserve">enderers to propose Prescribed ACE Percentages for each </w:t>
            </w:r>
            <w:r w:rsidR="00FB1192">
              <w:t xml:space="preserve">ACE measurement period, which conclude with an </w:t>
            </w:r>
            <w:r>
              <w:t>ACE Measurement Point</w:t>
            </w:r>
            <w:r w:rsidR="00CD279D">
              <w:t>.</w:t>
            </w:r>
            <w:r w:rsidR="0034298A">
              <w:t xml:space="preserve"> </w:t>
            </w:r>
            <w:r w:rsidR="00CD279D">
              <w:t xml:space="preserve"> Prescribed ACE Percentages</w:t>
            </w:r>
            <w:r w:rsidR="0034298A">
              <w:t xml:space="preserve"> </w:t>
            </w:r>
            <w:r w:rsidR="00DD564D">
              <w:t xml:space="preserve">may be different </w:t>
            </w:r>
            <w:r w:rsidR="0034298A">
              <w:t xml:space="preserve">to </w:t>
            </w:r>
            <w:r w:rsidR="00DD564D">
              <w:t>the</w:t>
            </w:r>
            <w:r>
              <w:t xml:space="preserve"> calculated ACE percentages</w:t>
            </w:r>
            <w:r w:rsidR="00DD564D">
              <w:t xml:space="preserve"> (d) in </w:t>
            </w:r>
            <w:r w:rsidR="00DD564D">
              <w:fldChar w:fldCharType="begin"/>
            </w:r>
            <w:r w:rsidR="00DD564D">
              <w:instrText xml:space="preserve"> REF _Ref47944345 \h </w:instrText>
            </w:r>
            <w:r w:rsidR="00DD564D">
              <w:fldChar w:fldCharType="separate"/>
            </w:r>
            <w:r w:rsidR="007B78E8">
              <w:t>Table B-</w:t>
            </w:r>
            <w:r w:rsidR="007B78E8">
              <w:rPr>
                <w:noProof/>
              </w:rPr>
              <w:t>1</w:t>
            </w:r>
            <w:r w:rsidR="00DD564D">
              <w:fldChar w:fldCharType="end"/>
            </w:r>
            <w:r w:rsidR="0034298A">
              <w:t xml:space="preserve"> but </w:t>
            </w:r>
            <w:r w:rsidR="00CD279D">
              <w:t xml:space="preserve">they </w:t>
            </w:r>
            <w:r w:rsidR="0034298A">
              <w:t>should be consistent</w:t>
            </w:r>
            <w:r w:rsidR="00DD564D">
              <w:t>.</w:t>
            </w:r>
            <w:r>
              <w:t xml:space="preserve"> </w:t>
            </w:r>
            <w:r w:rsidR="00DD564D">
              <w:t xml:space="preserve"> </w:t>
            </w:r>
            <w:r w:rsidR="00585D34">
              <w:t xml:space="preserve">Values for </w:t>
            </w:r>
            <w:r w:rsidR="00715F21">
              <w:t xml:space="preserve">planned </w:t>
            </w:r>
            <w:r>
              <w:t xml:space="preserve">ACE </w:t>
            </w:r>
            <w:r w:rsidR="00585D34">
              <w:t xml:space="preserve">in each period </w:t>
            </w:r>
            <w:r w:rsidR="00DD564D">
              <w:t xml:space="preserve">will be available from the Pricing Schedule worksheet of the SPTPW, which uses data from the </w:t>
            </w:r>
            <w:r>
              <w:t xml:space="preserve">Core Services and Excluded Services worksheets.  </w:t>
            </w:r>
            <w:r w:rsidR="00715F21">
              <w:t>The values for planned ICE can be determined as the total contract expenditure calculated</w:t>
            </w:r>
            <w:r w:rsidR="005F46CB">
              <w:t xml:space="preserve"> (for a given point in time)</w:t>
            </w:r>
            <w:r w:rsidR="00715F21">
              <w:t>, less the planned ACE,</w:t>
            </w:r>
            <w:r>
              <w:t xml:space="preserve"> </w:t>
            </w:r>
            <w:r w:rsidR="00715F21">
              <w:t xml:space="preserve">equals the planned ICE. </w:t>
            </w:r>
            <w:r>
              <w:fldChar w:fldCharType="begin"/>
            </w:r>
            <w:r>
              <w:instrText xml:space="preserve"> REF _Ref47944345 \h </w:instrText>
            </w:r>
            <w:r>
              <w:fldChar w:fldCharType="separate"/>
            </w:r>
            <w:r w:rsidR="007B78E8">
              <w:t>Table B-</w:t>
            </w:r>
            <w:r w:rsidR="007B78E8">
              <w:rPr>
                <w:noProof/>
              </w:rPr>
              <w:t>1</w:t>
            </w:r>
            <w:r>
              <w:fldChar w:fldCharType="end"/>
            </w:r>
            <w:r>
              <w:t xml:space="preserve"> will consist of an </w:t>
            </w:r>
            <w:r w:rsidRPr="0066273A">
              <w:t xml:space="preserve">amalgamation of the </w:t>
            </w:r>
            <w:r>
              <w:t>successful tenderer’s response to</w:t>
            </w:r>
            <w:r w:rsidRPr="0066273A">
              <w:t xml:space="preserve"> </w:t>
            </w:r>
            <w:r w:rsidRPr="00CD279D">
              <w:t>TDR D-</w:t>
            </w:r>
            <w:r w:rsidR="00CD279D" w:rsidRPr="00CD279D">
              <w:t>11</w:t>
            </w:r>
            <w:r>
              <w:t xml:space="preserve"> </w:t>
            </w:r>
            <w:r w:rsidRPr="0066273A">
              <w:t>and any negotiated adjustments</w:t>
            </w:r>
            <w:r>
              <w:t>.</w:t>
            </w:r>
          </w:p>
          <w:p w14:paraId="6B1A8944" w14:textId="21C32F7C" w:rsidR="000C2509" w:rsidRDefault="000C2509" w:rsidP="000C2509">
            <w:pPr>
              <w:pStyle w:val="Caption"/>
              <w:keepNext/>
            </w:pPr>
            <w:bookmarkStart w:id="135" w:name="_Ref47944345"/>
            <w:bookmarkStart w:id="136" w:name="_Ref83121704"/>
            <w:r>
              <w:t>Table B-</w:t>
            </w:r>
            <w:r w:rsidR="007B78E8">
              <w:fldChar w:fldCharType="begin"/>
            </w:r>
            <w:r w:rsidR="007B78E8">
              <w:instrText xml:space="preserve"> SEQ Table \* ARABIC </w:instrText>
            </w:r>
            <w:r w:rsidR="007B78E8">
              <w:fldChar w:fldCharType="separate"/>
            </w:r>
            <w:r w:rsidR="007B78E8">
              <w:rPr>
                <w:noProof/>
              </w:rPr>
              <w:t>1</w:t>
            </w:r>
            <w:r w:rsidR="007B78E8">
              <w:rPr>
                <w:noProof/>
              </w:rPr>
              <w:fldChar w:fldCharType="end"/>
            </w:r>
            <w:bookmarkEnd w:id="135"/>
            <w:r>
              <w:t xml:space="preserve">: </w:t>
            </w:r>
            <w:r w:rsidRPr="008252F6">
              <w:t xml:space="preserve">ACE Measurement Points and </w:t>
            </w:r>
            <w:r>
              <w:t>calculated</w:t>
            </w:r>
            <w:r w:rsidRPr="008252F6">
              <w:t xml:space="preserve"> ACE percentage</w:t>
            </w:r>
            <w:r>
              <w:t>s</w:t>
            </w:r>
            <w:bookmarkEnd w:id="136"/>
          </w:p>
          <w:tbl>
            <w:tblPr>
              <w:tblStyle w:val="TableGrid1"/>
              <w:tblW w:w="8811" w:type="dxa"/>
              <w:tblInd w:w="17" w:type="dxa"/>
              <w:tblLayout w:type="fixed"/>
              <w:tblCellMar>
                <w:left w:w="57" w:type="dxa"/>
                <w:right w:w="57" w:type="dxa"/>
              </w:tblCellMar>
              <w:tblLook w:val="04A0" w:firstRow="1" w:lastRow="0" w:firstColumn="1" w:lastColumn="0" w:noHBand="0" w:noVBand="1"/>
            </w:tblPr>
            <w:tblGrid>
              <w:gridCol w:w="2693"/>
              <w:gridCol w:w="2694"/>
              <w:gridCol w:w="1275"/>
              <w:gridCol w:w="1134"/>
              <w:gridCol w:w="1015"/>
            </w:tblGrid>
            <w:tr w:rsidR="008F068B" w:rsidRPr="00730D7F" w14:paraId="65770E04" w14:textId="77777777" w:rsidTr="00521AF6">
              <w:trPr>
                <w:cantSplit/>
                <w:trHeight w:val="338"/>
              </w:trPr>
              <w:tc>
                <w:tcPr>
                  <w:tcW w:w="5387" w:type="dxa"/>
                  <w:gridSpan w:val="2"/>
                  <w:shd w:val="pct15" w:color="auto" w:fill="auto"/>
                </w:tcPr>
                <w:p w14:paraId="7410E56B" w14:textId="39F2D406" w:rsidR="008F068B" w:rsidRPr="00866302" w:rsidRDefault="00190AE3" w:rsidP="00DA7657">
                  <w:pPr>
                    <w:pStyle w:val="Table8ptHeading-ASDEFCON"/>
                  </w:pPr>
                  <w:r>
                    <w:t>ACE m</w:t>
                  </w:r>
                  <w:r w:rsidR="008F068B" w:rsidRPr="00866302">
                    <w:t xml:space="preserve">easurement </w:t>
                  </w:r>
                  <w:r>
                    <w:t xml:space="preserve">period </w:t>
                  </w:r>
                  <w:r w:rsidR="008F068B" w:rsidRPr="00866302">
                    <w:t>(in accordance with Attachment F)</w:t>
                  </w:r>
                  <w:r w:rsidR="008F068B" w:rsidRPr="00866302">
                    <w:br/>
                    <w:t>(a)</w:t>
                  </w:r>
                </w:p>
              </w:tc>
              <w:tc>
                <w:tcPr>
                  <w:tcW w:w="1275" w:type="dxa"/>
                  <w:vMerge w:val="restart"/>
                  <w:shd w:val="pct15" w:color="auto" w:fill="auto"/>
                </w:tcPr>
                <w:p w14:paraId="473E337B" w14:textId="5926E317" w:rsidR="008F068B" w:rsidRPr="00866302" w:rsidRDefault="00521AF6" w:rsidP="00DA7657">
                  <w:pPr>
                    <w:pStyle w:val="Table8ptHeading-ASDEFCON"/>
                  </w:pPr>
                  <w:r>
                    <w:t xml:space="preserve">Planned </w:t>
                  </w:r>
                  <w:r w:rsidR="008F068B" w:rsidRPr="00866302">
                    <w:t>ACE ($)</w:t>
                  </w:r>
                  <w:r w:rsidR="008F068B" w:rsidRPr="00866302">
                    <w:br/>
                    <w:t>(b)</w:t>
                  </w:r>
                </w:p>
              </w:tc>
              <w:tc>
                <w:tcPr>
                  <w:tcW w:w="1134" w:type="dxa"/>
                  <w:vMerge w:val="restart"/>
                  <w:shd w:val="pct15" w:color="auto" w:fill="auto"/>
                </w:tcPr>
                <w:p w14:paraId="3849C808" w14:textId="3884A015" w:rsidR="008F068B" w:rsidRPr="00866302" w:rsidRDefault="00521AF6" w:rsidP="00DA7657">
                  <w:pPr>
                    <w:pStyle w:val="Table8ptHeading-ASDEFCON"/>
                  </w:pPr>
                  <w:r>
                    <w:t xml:space="preserve">Planned </w:t>
                  </w:r>
                  <w:r w:rsidR="008F068B" w:rsidRPr="00866302">
                    <w:t>ICE</w:t>
                  </w:r>
                  <w:r w:rsidR="008F068B">
                    <w:t xml:space="preserve"> </w:t>
                  </w:r>
                  <w:r w:rsidR="008F068B" w:rsidRPr="00866302">
                    <w:t>($)</w:t>
                  </w:r>
                  <w:r w:rsidR="008F068B">
                    <w:br/>
                  </w:r>
                  <w:r w:rsidR="008F068B" w:rsidRPr="00866302">
                    <w:t>(c)</w:t>
                  </w:r>
                </w:p>
              </w:tc>
              <w:tc>
                <w:tcPr>
                  <w:tcW w:w="1015" w:type="dxa"/>
                  <w:vMerge w:val="restart"/>
                  <w:shd w:val="pct15" w:color="auto" w:fill="auto"/>
                </w:tcPr>
                <w:p w14:paraId="018BA64A" w14:textId="77777777" w:rsidR="008F068B" w:rsidRPr="00866302" w:rsidRDefault="008F068B" w:rsidP="00DA7657">
                  <w:pPr>
                    <w:pStyle w:val="Table8ptHeading-ASDEFCON"/>
                  </w:pPr>
                  <w:r w:rsidRPr="00866302">
                    <w:t xml:space="preserve">Calculated ACE% </w:t>
                  </w:r>
                  <w:r w:rsidRPr="00866302">
                    <w:br/>
                    <w:t>(d)</w:t>
                  </w:r>
                </w:p>
              </w:tc>
            </w:tr>
            <w:tr w:rsidR="008F068B" w:rsidRPr="00730D7F" w14:paraId="5C7980A3" w14:textId="77777777" w:rsidTr="00521AF6">
              <w:trPr>
                <w:cantSplit/>
                <w:trHeight w:val="337"/>
              </w:trPr>
              <w:tc>
                <w:tcPr>
                  <w:tcW w:w="2693" w:type="dxa"/>
                  <w:shd w:val="pct15" w:color="auto" w:fill="auto"/>
                </w:tcPr>
                <w:p w14:paraId="5C28A6A7" w14:textId="0384B5FE" w:rsidR="008F068B" w:rsidRPr="00866302" w:rsidRDefault="00190AE3" w:rsidP="00DA7657">
                  <w:pPr>
                    <w:pStyle w:val="Table8ptHeading-ASDEFCON"/>
                  </w:pPr>
                  <w:r>
                    <w:t>Start</w:t>
                  </w:r>
                </w:p>
              </w:tc>
              <w:tc>
                <w:tcPr>
                  <w:tcW w:w="2694" w:type="dxa"/>
                  <w:shd w:val="pct15" w:color="auto" w:fill="auto"/>
                </w:tcPr>
                <w:p w14:paraId="1E8E30E8" w14:textId="4C45FC33" w:rsidR="008F068B" w:rsidRPr="00866302" w:rsidRDefault="00190AE3" w:rsidP="00DA7657">
                  <w:pPr>
                    <w:pStyle w:val="Table8ptHeading-ASDEFCON"/>
                  </w:pPr>
                  <w:r>
                    <w:t>ACE Measurement Point</w:t>
                  </w:r>
                </w:p>
              </w:tc>
              <w:tc>
                <w:tcPr>
                  <w:tcW w:w="1275" w:type="dxa"/>
                  <w:vMerge/>
                  <w:shd w:val="pct15" w:color="auto" w:fill="auto"/>
                </w:tcPr>
                <w:p w14:paraId="4FF6FEC2" w14:textId="77777777" w:rsidR="008F068B" w:rsidRPr="00866302" w:rsidRDefault="008F068B" w:rsidP="008F068B">
                  <w:pPr>
                    <w:pStyle w:val="Table8ptHeading-ASDEFCON"/>
                  </w:pPr>
                </w:p>
              </w:tc>
              <w:tc>
                <w:tcPr>
                  <w:tcW w:w="1134" w:type="dxa"/>
                  <w:vMerge/>
                  <w:shd w:val="pct15" w:color="auto" w:fill="auto"/>
                </w:tcPr>
                <w:p w14:paraId="51984772" w14:textId="77777777" w:rsidR="008F068B" w:rsidRPr="00866302" w:rsidRDefault="008F068B" w:rsidP="008F068B">
                  <w:pPr>
                    <w:pStyle w:val="Table8ptHeading-ASDEFCON"/>
                  </w:pPr>
                </w:p>
              </w:tc>
              <w:tc>
                <w:tcPr>
                  <w:tcW w:w="1015" w:type="dxa"/>
                  <w:vMerge/>
                  <w:shd w:val="pct15" w:color="auto" w:fill="auto"/>
                </w:tcPr>
                <w:p w14:paraId="59F9BAA0" w14:textId="77777777" w:rsidR="008F068B" w:rsidRPr="00866302" w:rsidRDefault="008F068B" w:rsidP="008F068B">
                  <w:pPr>
                    <w:pStyle w:val="Table8ptHeading-ASDEFCON"/>
                  </w:pPr>
                </w:p>
              </w:tc>
            </w:tr>
            <w:tr w:rsidR="008F068B" w14:paraId="1E87D00F" w14:textId="77777777" w:rsidTr="00521AF6">
              <w:trPr>
                <w:cantSplit/>
              </w:trPr>
              <w:tc>
                <w:tcPr>
                  <w:tcW w:w="2693" w:type="dxa"/>
                </w:tcPr>
                <w:p w14:paraId="5E7E4C6C" w14:textId="19E0A3FE" w:rsidR="008F068B" w:rsidRPr="00866302" w:rsidRDefault="008F068B" w:rsidP="00C73A7F">
                  <w:pPr>
                    <w:pStyle w:val="Table8ptText-ASDEFCON"/>
                    <w:jc w:val="left"/>
                  </w:pPr>
                </w:p>
              </w:tc>
              <w:tc>
                <w:tcPr>
                  <w:tcW w:w="2694" w:type="dxa"/>
                </w:tcPr>
                <w:p w14:paraId="2361A4F2" w14:textId="1E7216C7" w:rsidR="008F068B" w:rsidRPr="00866302" w:rsidRDefault="008F068B" w:rsidP="00C73A7F">
                  <w:pPr>
                    <w:pStyle w:val="Table8ptText-ASDEFCON"/>
                    <w:jc w:val="left"/>
                  </w:pPr>
                </w:p>
              </w:tc>
              <w:tc>
                <w:tcPr>
                  <w:tcW w:w="1275" w:type="dxa"/>
                </w:tcPr>
                <w:p w14:paraId="74018FA8" w14:textId="77777777" w:rsidR="008F068B" w:rsidRPr="00156CE3" w:rsidRDefault="008F068B" w:rsidP="00C73A7F">
                  <w:pPr>
                    <w:pStyle w:val="Table8ptText-ASDEFCON"/>
                    <w:jc w:val="right"/>
                  </w:pPr>
                </w:p>
              </w:tc>
              <w:tc>
                <w:tcPr>
                  <w:tcW w:w="1134" w:type="dxa"/>
                </w:tcPr>
                <w:p w14:paraId="7AF125A0" w14:textId="77777777" w:rsidR="008F068B" w:rsidRPr="00156CE3" w:rsidRDefault="008F068B" w:rsidP="00C73A7F">
                  <w:pPr>
                    <w:pStyle w:val="Table8ptText-ASDEFCON"/>
                    <w:jc w:val="right"/>
                  </w:pPr>
                </w:p>
              </w:tc>
              <w:tc>
                <w:tcPr>
                  <w:tcW w:w="1015" w:type="dxa"/>
                </w:tcPr>
                <w:p w14:paraId="103D663C" w14:textId="77777777" w:rsidR="008F068B" w:rsidRPr="000F7B60" w:rsidRDefault="008F068B" w:rsidP="00C73A7F">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t>%</w:t>
                  </w:r>
                </w:p>
              </w:tc>
            </w:tr>
            <w:tr w:rsidR="008F068B" w14:paraId="728DFBD9" w14:textId="77777777" w:rsidTr="00521AF6">
              <w:trPr>
                <w:cantSplit/>
              </w:trPr>
              <w:tc>
                <w:tcPr>
                  <w:tcW w:w="2693" w:type="dxa"/>
                </w:tcPr>
                <w:p w14:paraId="67CFF4B8" w14:textId="4BA55089" w:rsidR="008F068B" w:rsidRPr="00866302" w:rsidRDefault="008F068B" w:rsidP="00C73A7F">
                  <w:pPr>
                    <w:pStyle w:val="Table8ptText-ASDEFCON"/>
                    <w:jc w:val="left"/>
                  </w:pPr>
                </w:p>
              </w:tc>
              <w:tc>
                <w:tcPr>
                  <w:tcW w:w="2694" w:type="dxa"/>
                </w:tcPr>
                <w:p w14:paraId="5B459522" w14:textId="59FFF6A0" w:rsidR="008F068B" w:rsidRPr="00866302" w:rsidRDefault="008F068B" w:rsidP="00C73A7F">
                  <w:pPr>
                    <w:pStyle w:val="Table8ptText-ASDEFCON"/>
                    <w:jc w:val="left"/>
                  </w:pPr>
                </w:p>
              </w:tc>
              <w:tc>
                <w:tcPr>
                  <w:tcW w:w="1275" w:type="dxa"/>
                </w:tcPr>
                <w:p w14:paraId="17771059" w14:textId="77777777" w:rsidR="008F068B" w:rsidRPr="00156CE3" w:rsidRDefault="008F068B" w:rsidP="00C73A7F">
                  <w:pPr>
                    <w:pStyle w:val="Table8ptText-ASDEFCON"/>
                    <w:jc w:val="right"/>
                  </w:pPr>
                </w:p>
              </w:tc>
              <w:tc>
                <w:tcPr>
                  <w:tcW w:w="1134" w:type="dxa"/>
                </w:tcPr>
                <w:p w14:paraId="4DBAD563" w14:textId="77777777" w:rsidR="008F068B" w:rsidRPr="00156CE3" w:rsidRDefault="008F068B" w:rsidP="00C73A7F">
                  <w:pPr>
                    <w:pStyle w:val="Table8ptText-ASDEFCON"/>
                    <w:jc w:val="right"/>
                  </w:pPr>
                </w:p>
              </w:tc>
              <w:tc>
                <w:tcPr>
                  <w:tcW w:w="1015" w:type="dxa"/>
                </w:tcPr>
                <w:p w14:paraId="13991381" w14:textId="77777777" w:rsidR="008F068B" w:rsidRPr="000F7B60" w:rsidRDefault="008F068B" w:rsidP="00C73A7F">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8F068B" w14:paraId="28AA6234" w14:textId="77777777" w:rsidTr="00521AF6">
              <w:trPr>
                <w:cantSplit/>
              </w:trPr>
              <w:tc>
                <w:tcPr>
                  <w:tcW w:w="2693" w:type="dxa"/>
                </w:tcPr>
                <w:p w14:paraId="0FFAE7B9" w14:textId="0AEDE634" w:rsidR="008F068B" w:rsidRPr="00866302" w:rsidRDefault="008F068B" w:rsidP="00C73A7F">
                  <w:pPr>
                    <w:pStyle w:val="Table8ptText-ASDEFCON"/>
                    <w:jc w:val="left"/>
                  </w:pPr>
                </w:p>
              </w:tc>
              <w:tc>
                <w:tcPr>
                  <w:tcW w:w="2694" w:type="dxa"/>
                </w:tcPr>
                <w:p w14:paraId="4C03B8AE" w14:textId="200F6DA4" w:rsidR="008F068B" w:rsidRPr="00866302" w:rsidRDefault="008F068B" w:rsidP="00C73A7F">
                  <w:pPr>
                    <w:pStyle w:val="Table8ptText-ASDEFCON"/>
                    <w:jc w:val="left"/>
                  </w:pPr>
                </w:p>
              </w:tc>
              <w:tc>
                <w:tcPr>
                  <w:tcW w:w="1275" w:type="dxa"/>
                </w:tcPr>
                <w:p w14:paraId="45D0C700" w14:textId="77777777" w:rsidR="008F068B" w:rsidRPr="00156CE3" w:rsidRDefault="008F068B" w:rsidP="00C73A7F">
                  <w:pPr>
                    <w:pStyle w:val="Table8ptText-ASDEFCON"/>
                    <w:jc w:val="right"/>
                  </w:pPr>
                </w:p>
              </w:tc>
              <w:tc>
                <w:tcPr>
                  <w:tcW w:w="1134" w:type="dxa"/>
                </w:tcPr>
                <w:p w14:paraId="756F1207" w14:textId="77777777" w:rsidR="008F068B" w:rsidRPr="00156CE3" w:rsidRDefault="008F068B" w:rsidP="00C73A7F">
                  <w:pPr>
                    <w:pStyle w:val="Table8ptText-ASDEFCON"/>
                    <w:jc w:val="right"/>
                  </w:pPr>
                </w:p>
              </w:tc>
              <w:tc>
                <w:tcPr>
                  <w:tcW w:w="1015" w:type="dxa"/>
                </w:tcPr>
                <w:p w14:paraId="41139E3D" w14:textId="77777777" w:rsidR="008F068B" w:rsidRPr="000F7B60" w:rsidRDefault="008F068B" w:rsidP="00C73A7F">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8F068B" w14:paraId="52F44340" w14:textId="77777777" w:rsidTr="00521AF6">
              <w:trPr>
                <w:cantSplit/>
              </w:trPr>
              <w:tc>
                <w:tcPr>
                  <w:tcW w:w="2693" w:type="dxa"/>
                </w:tcPr>
                <w:p w14:paraId="191295A3" w14:textId="62C3648B" w:rsidR="008F068B" w:rsidRPr="00866302" w:rsidRDefault="008F068B" w:rsidP="00C73A7F">
                  <w:pPr>
                    <w:pStyle w:val="Table8ptText-ASDEFCON"/>
                    <w:jc w:val="left"/>
                  </w:pPr>
                </w:p>
              </w:tc>
              <w:tc>
                <w:tcPr>
                  <w:tcW w:w="2694" w:type="dxa"/>
                </w:tcPr>
                <w:p w14:paraId="2B8628C7" w14:textId="27984EC5" w:rsidR="008F068B" w:rsidRPr="00866302" w:rsidRDefault="008F068B" w:rsidP="00C73A7F">
                  <w:pPr>
                    <w:pStyle w:val="Table8ptText-ASDEFCON"/>
                    <w:jc w:val="left"/>
                  </w:pPr>
                </w:p>
              </w:tc>
              <w:tc>
                <w:tcPr>
                  <w:tcW w:w="1275" w:type="dxa"/>
                </w:tcPr>
                <w:p w14:paraId="54D7237F" w14:textId="77777777" w:rsidR="008F068B" w:rsidRPr="00156CE3" w:rsidRDefault="008F068B" w:rsidP="00C73A7F">
                  <w:pPr>
                    <w:pStyle w:val="Table8ptText-ASDEFCON"/>
                    <w:jc w:val="right"/>
                  </w:pPr>
                </w:p>
              </w:tc>
              <w:tc>
                <w:tcPr>
                  <w:tcW w:w="1134" w:type="dxa"/>
                </w:tcPr>
                <w:p w14:paraId="5C79AABB" w14:textId="77777777" w:rsidR="008F068B" w:rsidRPr="00156CE3" w:rsidRDefault="008F068B" w:rsidP="00C73A7F">
                  <w:pPr>
                    <w:pStyle w:val="Table8ptText-ASDEFCON"/>
                    <w:jc w:val="right"/>
                  </w:pPr>
                </w:p>
              </w:tc>
              <w:tc>
                <w:tcPr>
                  <w:tcW w:w="1015" w:type="dxa"/>
                </w:tcPr>
                <w:p w14:paraId="4297C1D8" w14:textId="77777777" w:rsidR="008F068B" w:rsidRPr="000F7B60" w:rsidRDefault="008F068B" w:rsidP="00C73A7F">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bl>
          <w:p w14:paraId="7BA4EFD8" w14:textId="77777777" w:rsidR="000C2509" w:rsidRDefault="000C2509" w:rsidP="00DA7657">
            <w:pPr>
              <w:pStyle w:val="ASDEFCONOptionSpace"/>
            </w:pPr>
          </w:p>
          <w:p w14:paraId="3982B1BC" w14:textId="5BEF0523" w:rsidR="000C2509" w:rsidRDefault="000C2509" w:rsidP="000C2509">
            <w:pPr>
              <w:pStyle w:val="ASDEFCONOptionSpace"/>
            </w:pPr>
          </w:p>
        </w:tc>
      </w:tr>
    </w:tbl>
    <w:p w14:paraId="71AAC673" w14:textId="10750944" w:rsidR="00086824" w:rsidRPr="003570E8" w:rsidRDefault="00086824" w:rsidP="00DA7657">
      <w:pPr>
        <w:pStyle w:val="ASDEFCONOptionSpace"/>
      </w:pPr>
    </w:p>
    <w:p w14:paraId="3F8C2F4D" w14:textId="77777777" w:rsidR="00086824" w:rsidRDefault="00086824" w:rsidP="00DA7657">
      <w:pPr>
        <w:pStyle w:val="COTCOCLV2-ASDEFCON"/>
      </w:pPr>
      <w:r>
        <w:t>Alternate and Additional Deeming Rates (RFT Core)</w:t>
      </w:r>
    </w:p>
    <w:p w14:paraId="7FFF6AD2" w14:textId="4AB7B84A" w:rsidR="00086824" w:rsidRDefault="00086824" w:rsidP="00086824">
      <w:pPr>
        <w:pStyle w:val="NoteToTenderers-ASDEFCON"/>
      </w:pPr>
      <w:r>
        <w:t xml:space="preserve">Note to drafters: </w:t>
      </w:r>
      <w:r>
        <w:fldChar w:fldCharType="begin"/>
      </w:r>
      <w:r>
        <w:instrText xml:space="preserve"> REF _Ref74311223 \h </w:instrText>
      </w:r>
      <w:r>
        <w:fldChar w:fldCharType="separate"/>
      </w:r>
      <w:r w:rsidR="007B78E8">
        <w:t>Table B-</w:t>
      </w:r>
      <w:r w:rsidR="007B78E8">
        <w:rPr>
          <w:noProof/>
        </w:rPr>
        <w:t>2</w:t>
      </w:r>
      <w:r>
        <w:fldChar w:fldCharType="end"/>
      </w:r>
      <w:r>
        <w:t xml:space="preserve"> may be pre-populated by the drafter with alternative and/or additional deeming rates, prior to tendering, when the Commonwealth considers that deeming rates other than those listed in the ACE Measurement Rules should be applied to the proposed Contract.</w:t>
      </w:r>
    </w:p>
    <w:p w14:paraId="04B1EFEE" w14:textId="216E2F74" w:rsidR="00086824" w:rsidRDefault="00086824" w:rsidP="00086824">
      <w:pPr>
        <w:pStyle w:val="NoteToTenderers-ASDEFCON"/>
      </w:pPr>
      <w:r>
        <w:t xml:space="preserve">Note to tenderers:  The Commonwealth will consider deeming rates other than those listed in the ACE Measurement Rules for the proposed Contract.  </w:t>
      </w:r>
      <w:r>
        <w:fldChar w:fldCharType="begin"/>
      </w:r>
      <w:r>
        <w:instrText xml:space="preserve"> REF _Ref74311223 \h </w:instrText>
      </w:r>
      <w:r>
        <w:fldChar w:fldCharType="separate"/>
      </w:r>
      <w:r w:rsidR="007B78E8">
        <w:t>Table B-</w:t>
      </w:r>
      <w:r w:rsidR="007B78E8">
        <w:rPr>
          <w:noProof/>
        </w:rPr>
        <w:t>2</w:t>
      </w:r>
      <w:r>
        <w:fldChar w:fldCharType="end"/>
      </w:r>
      <w:r>
        <w:t xml:space="preserve"> will consist of the successful tenderer’s response to TDR D-11,</w:t>
      </w:r>
      <w:r w:rsidRPr="002A29EA">
        <w:t xml:space="preserve"> </w:t>
      </w:r>
      <w:r>
        <w:t>and any negotiated adjustments.</w:t>
      </w:r>
    </w:p>
    <w:p w14:paraId="394E37D5" w14:textId="192CA2AC" w:rsidR="00086824" w:rsidRPr="00C071C2" w:rsidRDefault="00086824" w:rsidP="00086824">
      <w:pPr>
        <w:pStyle w:val="COTCOCLV3-ASDEFCON"/>
      </w:pPr>
      <w:r>
        <w:fldChar w:fldCharType="begin"/>
      </w:r>
      <w:r>
        <w:instrText xml:space="preserve"> REF _Ref74311223 \h </w:instrText>
      </w:r>
      <w:r>
        <w:fldChar w:fldCharType="separate"/>
      </w:r>
      <w:r w:rsidR="007B78E8">
        <w:t>Table B-</w:t>
      </w:r>
      <w:r w:rsidR="007B78E8">
        <w:rPr>
          <w:noProof/>
        </w:rPr>
        <w:t>2</w:t>
      </w:r>
      <w:r>
        <w:fldChar w:fldCharType="end"/>
      </w:r>
      <w:r>
        <w:t xml:space="preserve"> </w:t>
      </w:r>
      <w:r w:rsidRPr="00C071C2">
        <w:t xml:space="preserve">below specifies alternate or additional Subcontract categories, thresholds and deemed ACE and ICE </w:t>
      </w:r>
      <w:r w:rsidRPr="00BB7EA7">
        <w:t xml:space="preserve">percentages </w:t>
      </w:r>
      <w:r w:rsidRPr="00C071C2">
        <w:t xml:space="preserve">for the purposes of the application of </w:t>
      </w:r>
      <w:r>
        <w:t>paragraph</w:t>
      </w:r>
      <w:r w:rsidRPr="00C071C2">
        <w:t xml:space="preserve"> 3 of the ACE Measurement Rules.</w:t>
      </w:r>
    </w:p>
    <w:p w14:paraId="08C0ACF7" w14:textId="748CC27B" w:rsidR="00086824" w:rsidRDefault="00086824" w:rsidP="00086824">
      <w:pPr>
        <w:pStyle w:val="Caption"/>
        <w:keepNext/>
      </w:pPr>
      <w:bookmarkStart w:id="137" w:name="_Ref74311223"/>
      <w:r>
        <w:t>Table B-</w:t>
      </w:r>
      <w:r w:rsidR="007B78E8">
        <w:fldChar w:fldCharType="begin"/>
      </w:r>
      <w:r w:rsidR="007B78E8">
        <w:instrText xml:space="preserve"> SEQ Table \* ARABIC </w:instrText>
      </w:r>
      <w:r w:rsidR="007B78E8">
        <w:fldChar w:fldCharType="separate"/>
      </w:r>
      <w:r w:rsidR="007B78E8">
        <w:rPr>
          <w:noProof/>
        </w:rPr>
        <w:t>2</w:t>
      </w:r>
      <w:r w:rsidR="007B78E8">
        <w:rPr>
          <w:noProof/>
        </w:rPr>
        <w:fldChar w:fldCharType="end"/>
      </w:r>
      <w:bookmarkEnd w:id="137"/>
      <w:r>
        <w:t>: Approved Alternate and Additional Deeming Rates</w:t>
      </w:r>
    </w:p>
    <w:tbl>
      <w:tblPr>
        <w:tblStyle w:val="TableGrid"/>
        <w:tblW w:w="0" w:type="auto"/>
        <w:tblLook w:val="04A0" w:firstRow="1" w:lastRow="0" w:firstColumn="1" w:lastColumn="0" w:noHBand="0" w:noVBand="1"/>
      </w:tblPr>
      <w:tblGrid>
        <w:gridCol w:w="3114"/>
        <w:gridCol w:w="2126"/>
        <w:gridCol w:w="1843"/>
        <w:gridCol w:w="1933"/>
      </w:tblGrid>
      <w:tr w:rsidR="00086824" w:rsidRPr="00CC4781" w14:paraId="345DDDE5" w14:textId="77777777" w:rsidTr="00086824">
        <w:trPr>
          <w:trHeight w:val="182"/>
          <w:tblHeader/>
        </w:trPr>
        <w:tc>
          <w:tcPr>
            <w:tcW w:w="3114" w:type="dxa"/>
            <w:vMerge w:val="restart"/>
            <w:shd w:val="clear" w:color="auto" w:fill="BFBFBF" w:themeFill="background1" w:themeFillShade="BF"/>
          </w:tcPr>
          <w:p w14:paraId="62B83740" w14:textId="77777777" w:rsidR="00086824" w:rsidRPr="00CC4781" w:rsidRDefault="00086824" w:rsidP="00C52E8B">
            <w:pPr>
              <w:pStyle w:val="Table8ptHeading-ASDEFCON"/>
            </w:pPr>
            <w:r w:rsidRPr="00CC4781">
              <w:t xml:space="preserve">Nature of </w:t>
            </w:r>
            <w:r>
              <w:t xml:space="preserve">cost category / </w:t>
            </w:r>
            <w:r w:rsidRPr="00CC4781">
              <w:t>Subcontractor work</w:t>
            </w:r>
          </w:p>
          <w:p w14:paraId="502C82F1" w14:textId="77777777" w:rsidR="00086824" w:rsidRPr="00CC4781" w:rsidRDefault="00086824" w:rsidP="00C52E8B">
            <w:pPr>
              <w:pStyle w:val="Table8ptHeading-ASDEFCON"/>
            </w:pPr>
          </w:p>
        </w:tc>
        <w:tc>
          <w:tcPr>
            <w:tcW w:w="2126" w:type="dxa"/>
            <w:vMerge w:val="restart"/>
            <w:shd w:val="clear" w:color="auto" w:fill="BFBFBF" w:themeFill="background1" w:themeFillShade="BF"/>
          </w:tcPr>
          <w:p w14:paraId="56A83895" w14:textId="77777777" w:rsidR="00086824" w:rsidRPr="00CC4781" w:rsidRDefault="00086824" w:rsidP="00C52E8B">
            <w:pPr>
              <w:pStyle w:val="Table8ptHeading-ASDEFCON"/>
            </w:pPr>
            <w:r>
              <w:t>Applicable Threshold (GST exclusive)</w:t>
            </w:r>
          </w:p>
        </w:tc>
        <w:tc>
          <w:tcPr>
            <w:tcW w:w="3776" w:type="dxa"/>
            <w:gridSpan w:val="2"/>
            <w:shd w:val="clear" w:color="auto" w:fill="BFBFBF" w:themeFill="background1" w:themeFillShade="BF"/>
          </w:tcPr>
          <w:p w14:paraId="0E8F8E97" w14:textId="77777777" w:rsidR="00086824" w:rsidRPr="00CC4781" w:rsidRDefault="00086824" w:rsidP="00C52E8B">
            <w:pPr>
              <w:pStyle w:val="Table8ptHeading-ASDEFCON"/>
            </w:pPr>
            <w:r w:rsidRPr="00CC4781">
              <w:t xml:space="preserve">Deemed Australian Contract Expenditure and Imported </w:t>
            </w:r>
            <w:r w:rsidRPr="00517D77">
              <w:t>Contract Expenditure</w:t>
            </w:r>
          </w:p>
        </w:tc>
      </w:tr>
      <w:tr w:rsidR="00086824" w:rsidRPr="00CC4781" w14:paraId="38DAEF3A" w14:textId="77777777" w:rsidTr="00086824">
        <w:trPr>
          <w:trHeight w:val="182"/>
          <w:tblHeader/>
        </w:trPr>
        <w:tc>
          <w:tcPr>
            <w:tcW w:w="3114" w:type="dxa"/>
            <w:vMerge/>
            <w:shd w:val="clear" w:color="auto" w:fill="BFBFBF" w:themeFill="background1" w:themeFillShade="BF"/>
          </w:tcPr>
          <w:p w14:paraId="10166606" w14:textId="77777777" w:rsidR="00086824" w:rsidRPr="00CC4781" w:rsidRDefault="00086824" w:rsidP="00C52E8B">
            <w:pPr>
              <w:pStyle w:val="Table8ptHeading-ASDEFCON"/>
            </w:pPr>
          </w:p>
        </w:tc>
        <w:tc>
          <w:tcPr>
            <w:tcW w:w="2126" w:type="dxa"/>
            <w:vMerge/>
            <w:shd w:val="clear" w:color="auto" w:fill="BFBFBF" w:themeFill="background1" w:themeFillShade="BF"/>
          </w:tcPr>
          <w:p w14:paraId="4654A0C3" w14:textId="77777777" w:rsidR="00086824" w:rsidRPr="00CC4781" w:rsidRDefault="00086824" w:rsidP="00C52E8B">
            <w:pPr>
              <w:pStyle w:val="Table8ptHeading-ASDEFCON"/>
            </w:pPr>
          </w:p>
        </w:tc>
        <w:tc>
          <w:tcPr>
            <w:tcW w:w="1843" w:type="dxa"/>
            <w:shd w:val="clear" w:color="auto" w:fill="BFBFBF" w:themeFill="background1" w:themeFillShade="BF"/>
          </w:tcPr>
          <w:p w14:paraId="37A8359A" w14:textId="77777777" w:rsidR="00086824" w:rsidRPr="00CC4781" w:rsidRDefault="00086824" w:rsidP="00C52E8B">
            <w:pPr>
              <w:pStyle w:val="Table8ptHeading-ASDEFCON"/>
            </w:pPr>
            <w:r w:rsidRPr="00CC4781">
              <w:t>Australian Contract Expenditure</w:t>
            </w:r>
          </w:p>
        </w:tc>
        <w:tc>
          <w:tcPr>
            <w:tcW w:w="1933" w:type="dxa"/>
            <w:shd w:val="clear" w:color="auto" w:fill="BFBFBF" w:themeFill="background1" w:themeFillShade="BF"/>
          </w:tcPr>
          <w:p w14:paraId="4B1D29D7" w14:textId="77777777" w:rsidR="00086824" w:rsidRPr="00CC4781" w:rsidRDefault="00086824" w:rsidP="00C52E8B">
            <w:pPr>
              <w:pStyle w:val="Table8ptHeading-ASDEFCON"/>
            </w:pPr>
            <w:r w:rsidRPr="00CC4781">
              <w:t xml:space="preserve">Imported </w:t>
            </w:r>
            <w:r w:rsidRPr="00517D77">
              <w:t>Contract Expenditure</w:t>
            </w:r>
          </w:p>
        </w:tc>
      </w:tr>
      <w:tr w:rsidR="00086824" w:rsidRPr="00CC4781" w14:paraId="76C35FAD" w14:textId="77777777" w:rsidTr="00086824">
        <w:tc>
          <w:tcPr>
            <w:tcW w:w="3114" w:type="dxa"/>
            <w:shd w:val="clear" w:color="auto" w:fill="auto"/>
          </w:tcPr>
          <w:p w14:paraId="421860E8" w14:textId="77777777" w:rsidR="00086824" w:rsidRPr="00FD3EEA" w:rsidRDefault="00086824" w:rsidP="00C52E8B">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Pr="00FD3EEA">
              <w:rPr>
                <w:noProof/>
              </w:rPr>
              <w:t>(…INSERT description...)</w:t>
            </w:r>
            <w:r w:rsidRPr="00FD3EEA">
              <w:fldChar w:fldCharType="end"/>
            </w:r>
          </w:p>
        </w:tc>
        <w:tc>
          <w:tcPr>
            <w:tcW w:w="2126" w:type="dxa"/>
          </w:tcPr>
          <w:p w14:paraId="3C4A8025" w14:textId="77777777" w:rsidR="00086824" w:rsidRPr="00FD3EEA" w:rsidRDefault="00086824" w:rsidP="00C52E8B">
            <w:pPr>
              <w:pStyle w:val="Table8ptText-ASDEFCON"/>
            </w:pPr>
            <w:r w:rsidRPr="00FD3EEA">
              <w:fldChar w:fldCharType="begin">
                <w:ffData>
                  <w:name w:val="Text10"/>
                  <w:enabled/>
                  <w:calcOnExit w:val="0"/>
                  <w:textInput>
                    <w:default w:val="(…INSERT threshold value...)"/>
                  </w:textInput>
                </w:ffData>
              </w:fldChar>
            </w:r>
            <w:r w:rsidRPr="00FD3EEA">
              <w:instrText xml:space="preserve"> FORMTEXT </w:instrText>
            </w:r>
            <w:r w:rsidRPr="00FD3EEA">
              <w:fldChar w:fldCharType="separate"/>
            </w:r>
            <w:r w:rsidRPr="00FD3EEA">
              <w:rPr>
                <w:noProof/>
              </w:rPr>
              <w:t>(…INSERT threshold value...)</w:t>
            </w:r>
            <w:r w:rsidRPr="00FD3EEA">
              <w:fldChar w:fldCharType="end"/>
            </w:r>
          </w:p>
        </w:tc>
        <w:tc>
          <w:tcPr>
            <w:tcW w:w="1843" w:type="dxa"/>
            <w:shd w:val="clear" w:color="auto" w:fill="auto"/>
          </w:tcPr>
          <w:p w14:paraId="1122D972" w14:textId="77777777" w:rsidR="00086824" w:rsidRPr="00FD3EEA"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933" w:type="dxa"/>
            <w:shd w:val="clear" w:color="auto" w:fill="auto"/>
          </w:tcPr>
          <w:p w14:paraId="00FCA144" w14:textId="77777777" w:rsidR="00086824" w:rsidRPr="00FD3EEA"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r>
      <w:tr w:rsidR="00086824" w:rsidRPr="00CC4781" w14:paraId="5AC9B9B0" w14:textId="77777777" w:rsidTr="00086824">
        <w:tc>
          <w:tcPr>
            <w:tcW w:w="3114" w:type="dxa"/>
            <w:shd w:val="clear" w:color="auto" w:fill="auto"/>
          </w:tcPr>
          <w:p w14:paraId="403A75F9" w14:textId="77777777" w:rsidR="00086824" w:rsidRPr="00FD3EEA" w:rsidRDefault="00086824" w:rsidP="00C52E8B">
            <w:pPr>
              <w:pStyle w:val="Table8ptText-ASDEFCON"/>
            </w:pPr>
            <w:r w:rsidRPr="00FD3EEA">
              <w:fldChar w:fldCharType="begin">
                <w:ffData>
                  <w:name w:val=""/>
                  <w:enabled/>
                  <w:calcOnExit w:val="0"/>
                  <w:textInput>
                    <w:default w:val="(…INSERT description...)"/>
                  </w:textInput>
                </w:ffData>
              </w:fldChar>
            </w:r>
            <w:r w:rsidRPr="00FD3EEA">
              <w:instrText xml:space="preserve"> FORMTEXT </w:instrText>
            </w:r>
            <w:r w:rsidRPr="00FD3EEA">
              <w:fldChar w:fldCharType="separate"/>
            </w:r>
            <w:r w:rsidRPr="00FD3EEA">
              <w:rPr>
                <w:noProof/>
              </w:rPr>
              <w:t>(…INSERT description...)</w:t>
            </w:r>
            <w:r w:rsidRPr="00FD3EEA">
              <w:fldChar w:fldCharType="end"/>
            </w:r>
          </w:p>
        </w:tc>
        <w:tc>
          <w:tcPr>
            <w:tcW w:w="2126" w:type="dxa"/>
          </w:tcPr>
          <w:p w14:paraId="1DCC95B8" w14:textId="77777777" w:rsidR="00086824" w:rsidRPr="00FD3EEA" w:rsidRDefault="00086824" w:rsidP="00C52E8B">
            <w:pPr>
              <w:pStyle w:val="Table8ptText-ASDEFCON"/>
            </w:pPr>
            <w:r w:rsidRPr="00FD3EEA">
              <w:fldChar w:fldCharType="begin">
                <w:ffData>
                  <w:name w:val=""/>
                  <w:enabled/>
                  <w:calcOnExit w:val="0"/>
                  <w:textInput>
                    <w:default w:val="(…INSERT threshold value...)"/>
                  </w:textInput>
                </w:ffData>
              </w:fldChar>
            </w:r>
            <w:r w:rsidRPr="00FD3EEA">
              <w:instrText xml:space="preserve"> FORMTEXT </w:instrText>
            </w:r>
            <w:r w:rsidRPr="00FD3EEA">
              <w:fldChar w:fldCharType="separate"/>
            </w:r>
            <w:r w:rsidRPr="00FD3EEA">
              <w:rPr>
                <w:noProof/>
              </w:rPr>
              <w:t>(…INSERT threshold value...)</w:t>
            </w:r>
            <w:r w:rsidRPr="00FD3EEA">
              <w:fldChar w:fldCharType="end"/>
            </w:r>
          </w:p>
        </w:tc>
        <w:tc>
          <w:tcPr>
            <w:tcW w:w="1843" w:type="dxa"/>
            <w:shd w:val="clear" w:color="auto" w:fill="auto"/>
          </w:tcPr>
          <w:p w14:paraId="4C987987" w14:textId="77777777" w:rsidR="00086824" w:rsidRPr="00FD3EEA"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933" w:type="dxa"/>
            <w:shd w:val="clear" w:color="auto" w:fill="auto"/>
          </w:tcPr>
          <w:p w14:paraId="107B070A" w14:textId="77777777" w:rsidR="00086824" w:rsidRPr="00FD3EEA"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r>
    </w:tbl>
    <w:p w14:paraId="07E5717A" w14:textId="77777777" w:rsidR="00086824" w:rsidRDefault="00086824" w:rsidP="00DA7657">
      <w:pPr>
        <w:pStyle w:val="ASDEFCONOptionSpace"/>
      </w:pPr>
      <w:bookmarkStart w:id="138" w:name="_Toc74207417"/>
      <w:bookmarkStart w:id="139" w:name="_Toc74207740"/>
      <w:bookmarkStart w:id="140" w:name="_Toc74208018"/>
      <w:bookmarkStart w:id="141" w:name="_Toc74208295"/>
      <w:bookmarkStart w:id="142" w:name="_Toc74208576"/>
      <w:bookmarkStart w:id="143" w:name="_Toc74208854"/>
      <w:bookmarkStart w:id="144" w:name="_Toc74308403"/>
      <w:bookmarkStart w:id="145" w:name="_Toc74308797"/>
      <w:bookmarkStart w:id="146" w:name="_Toc74309183"/>
      <w:bookmarkStart w:id="147" w:name="_Toc74636439"/>
      <w:bookmarkEnd w:id="138"/>
      <w:bookmarkEnd w:id="139"/>
      <w:bookmarkEnd w:id="140"/>
      <w:bookmarkEnd w:id="141"/>
      <w:bookmarkEnd w:id="142"/>
      <w:bookmarkEnd w:id="143"/>
      <w:bookmarkEnd w:id="144"/>
      <w:bookmarkEnd w:id="145"/>
      <w:bookmarkEnd w:id="146"/>
      <w:bookmarkEnd w:id="147"/>
    </w:p>
    <w:p w14:paraId="083F1550" w14:textId="1C8AC04A" w:rsidR="00086824" w:rsidRDefault="00086824" w:rsidP="00086824">
      <w:pPr>
        <w:pStyle w:val="COTCOCLV3-ASDEFCON"/>
      </w:pPr>
      <w:r>
        <w:t xml:space="preserve">The parties acknowledge and agree that, in accordance with </w:t>
      </w:r>
      <w:r w:rsidRPr="00C071C2">
        <w:t>paragraph</w:t>
      </w:r>
      <w:r>
        <w:t xml:space="preserve"> 4 of the ACE Measurement Rules, alternate deeming rates for indirect costs (including overhead and general and administrative costs) for the Contractor and </w:t>
      </w:r>
      <w:r w:rsidRPr="00C071C2">
        <w:t>specified</w:t>
      </w:r>
      <w:r>
        <w:t xml:space="preserve"> Subcontractors shall be applied </w:t>
      </w:r>
      <w:r w:rsidR="00C65436">
        <w:t xml:space="preserve">in accordance with </w:t>
      </w:r>
      <w:r w:rsidR="00C65436">
        <w:fldChar w:fldCharType="begin"/>
      </w:r>
      <w:r w:rsidR="00C65436">
        <w:instrText xml:space="preserve"> REF _Ref83976116 \h </w:instrText>
      </w:r>
      <w:r w:rsidR="00C65436">
        <w:fldChar w:fldCharType="separate"/>
      </w:r>
      <w:r w:rsidR="007B78E8">
        <w:t>Table B-</w:t>
      </w:r>
      <w:r w:rsidR="007B78E8">
        <w:rPr>
          <w:noProof/>
        </w:rPr>
        <w:t>3</w:t>
      </w:r>
      <w:r w:rsidR="00C65436">
        <w:fldChar w:fldCharType="end"/>
      </w:r>
      <w:r w:rsidR="00C65436">
        <w:t xml:space="preserve">, </w:t>
      </w:r>
      <w:r>
        <w:t>as follows:</w:t>
      </w:r>
    </w:p>
    <w:p w14:paraId="7721562E" w14:textId="32BA7590" w:rsidR="00086824" w:rsidRDefault="00086824" w:rsidP="00086824">
      <w:pPr>
        <w:pStyle w:val="Caption"/>
        <w:keepNext/>
      </w:pPr>
      <w:bookmarkStart w:id="148" w:name="_Ref83976116"/>
      <w:r>
        <w:t>Table B-</w:t>
      </w:r>
      <w:r w:rsidR="007B78E8">
        <w:fldChar w:fldCharType="begin"/>
      </w:r>
      <w:r w:rsidR="007B78E8">
        <w:instrText xml:space="preserve"> SEQ Table \* ARABIC </w:instrText>
      </w:r>
      <w:r w:rsidR="007B78E8">
        <w:fldChar w:fldCharType="separate"/>
      </w:r>
      <w:r w:rsidR="007B78E8">
        <w:rPr>
          <w:noProof/>
        </w:rPr>
        <w:t>3</w:t>
      </w:r>
      <w:r w:rsidR="007B78E8">
        <w:rPr>
          <w:noProof/>
        </w:rPr>
        <w:fldChar w:fldCharType="end"/>
      </w:r>
      <w:bookmarkEnd w:id="148"/>
      <w:r>
        <w:t>: Deeming Rates for Indirect Costs</w:t>
      </w:r>
    </w:p>
    <w:tbl>
      <w:tblPr>
        <w:tblStyle w:val="TableGrid"/>
        <w:tblpPr w:leftFromText="180" w:rightFromText="180" w:vertAnchor="text" w:horzAnchor="margin" w:tblpXSpec="center" w:tblpY="-60"/>
        <w:tblW w:w="0" w:type="auto"/>
        <w:tblLayout w:type="fixed"/>
        <w:tblLook w:val="04A0" w:firstRow="1" w:lastRow="0" w:firstColumn="1" w:lastColumn="0" w:noHBand="0" w:noVBand="1"/>
      </w:tblPr>
      <w:tblGrid>
        <w:gridCol w:w="4677"/>
        <w:gridCol w:w="1701"/>
        <w:gridCol w:w="1696"/>
      </w:tblGrid>
      <w:tr w:rsidR="00086824" w14:paraId="4B8A8F3D" w14:textId="77777777" w:rsidTr="00C52E8B">
        <w:tc>
          <w:tcPr>
            <w:tcW w:w="4677" w:type="dxa"/>
            <w:shd w:val="pct12" w:color="auto" w:fill="auto"/>
          </w:tcPr>
          <w:p w14:paraId="54F424C9" w14:textId="77777777" w:rsidR="00086824" w:rsidRDefault="00086824" w:rsidP="00C52E8B">
            <w:pPr>
              <w:pStyle w:val="Table8ptHeading-ASDEFCON"/>
            </w:pPr>
            <w:r>
              <w:t>Entity Name</w:t>
            </w:r>
          </w:p>
        </w:tc>
        <w:tc>
          <w:tcPr>
            <w:tcW w:w="1701" w:type="dxa"/>
            <w:shd w:val="pct12" w:color="auto" w:fill="auto"/>
          </w:tcPr>
          <w:p w14:paraId="35341973" w14:textId="77777777" w:rsidR="00086824" w:rsidRDefault="00086824" w:rsidP="00C52E8B">
            <w:pPr>
              <w:pStyle w:val="Table8ptHeading-ASDEFCON"/>
            </w:pPr>
            <w:r>
              <w:t>Deemed ACE percentage</w:t>
            </w:r>
          </w:p>
        </w:tc>
        <w:tc>
          <w:tcPr>
            <w:tcW w:w="1696" w:type="dxa"/>
            <w:shd w:val="pct12" w:color="auto" w:fill="auto"/>
          </w:tcPr>
          <w:p w14:paraId="2AC10FDE" w14:textId="77777777" w:rsidR="00086824" w:rsidRDefault="00086824" w:rsidP="00C52E8B">
            <w:pPr>
              <w:pStyle w:val="Table8ptHeading-ASDEFCON"/>
            </w:pPr>
            <w:r>
              <w:t>Deemed ICE% percentage</w:t>
            </w:r>
          </w:p>
        </w:tc>
      </w:tr>
      <w:tr w:rsidR="00086824" w14:paraId="6C4523AD" w14:textId="77777777" w:rsidTr="00086824">
        <w:tc>
          <w:tcPr>
            <w:tcW w:w="4677" w:type="dxa"/>
          </w:tcPr>
          <w:p w14:paraId="1DA5FDF7" w14:textId="77777777" w:rsidR="00086824" w:rsidRDefault="00086824" w:rsidP="00C52E8B">
            <w:pPr>
              <w:pStyle w:val="Table8ptText-ASDEFCON"/>
            </w:pPr>
            <w:r>
              <w:fldChar w:fldCharType="begin">
                <w:ffData>
                  <w:name w:val="Text12"/>
                  <w:enabled/>
                  <w:calcOnExit w:val="0"/>
                  <w:textInput>
                    <w:default w:val="(… INSERT CONTRACTOR NAME …)"/>
                  </w:textInput>
                </w:ffData>
              </w:fldChar>
            </w:r>
            <w:r>
              <w:instrText xml:space="preserve"> </w:instrText>
            </w:r>
            <w:bookmarkStart w:id="149" w:name="Text12"/>
            <w:r>
              <w:instrText xml:space="preserve">FORMTEXT </w:instrText>
            </w:r>
            <w:r>
              <w:fldChar w:fldCharType="separate"/>
            </w:r>
            <w:r>
              <w:rPr>
                <w:noProof/>
              </w:rPr>
              <w:t>(… INSERT CONTRACTOR NAME …)</w:t>
            </w:r>
            <w:r>
              <w:fldChar w:fldCharType="end"/>
            </w:r>
            <w:bookmarkEnd w:id="149"/>
          </w:p>
        </w:tc>
        <w:tc>
          <w:tcPr>
            <w:tcW w:w="1701" w:type="dxa"/>
          </w:tcPr>
          <w:p w14:paraId="040CA84D" w14:textId="77777777" w:rsidR="00086824"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696" w:type="dxa"/>
          </w:tcPr>
          <w:p w14:paraId="74A154F5" w14:textId="77777777" w:rsidR="00086824"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r>
      <w:tr w:rsidR="00086824" w14:paraId="29168833" w14:textId="77777777" w:rsidTr="00086824">
        <w:tc>
          <w:tcPr>
            <w:tcW w:w="4677" w:type="dxa"/>
          </w:tcPr>
          <w:p w14:paraId="33769A9C" w14:textId="77777777" w:rsidR="00086824" w:rsidRDefault="00086824" w:rsidP="00C52E8B">
            <w:pPr>
              <w:pStyle w:val="Table8ptText-ASDEFCON"/>
            </w:pPr>
            <w:r>
              <w:fldChar w:fldCharType="begin">
                <w:ffData>
                  <w:name w:val="Text13"/>
                  <w:enabled/>
                  <w:calcOnExit w:val="0"/>
                  <w:textInput>
                    <w:default w:val="(… INSERT SUBCONTRACTOR NAME …)"/>
                  </w:textInput>
                </w:ffData>
              </w:fldChar>
            </w:r>
            <w:r>
              <w:instrText xml:space="preserve"> </w:instrText>
            </w:r>
            <w:bookmarkStart w:id="150" w:name="Text13"/>
            <w:r>
              <w:instrText xml:space="preserve">FORMTEXT </w:instrText>
            </w:r>
            <w:r>
              <w:fldChar w:fldCharType="separate"/>
            </w:r>
            <w:r>
              <w:rPr>
                <w:noProof/>
              </w:rPr>
              <w:t>(… INSERT SUBCONTRACTOR NAME …)</w:t>
            </w:r>
            <w:r>
              <w:fldChar w:fldCharType="end"/>
            </w:r>
            <w:bookmarkEnd w:id="150"/>
          </w:p>
        </w:tc>
        <w:tc>
          <w:tcPr>
            <w:tcW w:w="1701" w:type="dxa"/>
          </w:tcPr>
          <w:p w14:paraId="681628C3" w14:textId="77777777" w:rsidR="00086824"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696" w:type="dxa"/>
          </w:tcPr>
          <w:p w14:paraId="3526B5BB" w14:textId="77777777" w:rsidR="00086824" w:rsidRDefault="00086824" w:rsidP="00C52E8B">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r>
      <w:tr w:rsidR="00086824" w14:paraId="54294951" w14:textId="77777777" w:rsidTr="00086824">
        <w:tc>
          <w:tcPr>
            <w:tcW w:w="4677" w:type="dxa"/>
          </w:tcPr>
          <w:p w14:paraId="6073C805" w14:textId="77777777" w:rsidR="00086824" w:rsidRDefault="00086824" w:rsidP="00C52E8B">
            <w:pPr>
              <w:pStyle w:val="Table8ptText-ASDEFCON"/>
            </w:pPr>
          </w:p>
        </w:tc>
        <w:tc>
          <w:tcPr>
            <w:tcW w:w="1701" w:type="dxa"/>
          </w:tcPr>
          <w:p w14:paraId="54CD4A32" w14:textId="77777777" w:rsidR="00086824" w:rsidRPr="00FD3EEA" w:rsidRDefault="00086824" w:rsidP="00C52E8B">
            <w:pPr>
              <w:pStyle w:val="Table8ptText-ASDEFCON"/>
            </w:pPr>
          </w:p>
        </w:tc>
        <w:tc>
          <w:tcPr>
            <w:tcW w:w="1696" w:type="dxa"/>
          </w:tcPr>
          <w:p w14:paraId="62A44CF5" w14:textId="77777777" w:rsidR="00086824" w:rsidRPr="00FD3EEA" w:rsidRDefault="00086824" w:rsidP="00C52E8B">
            <w:pPr>
              <w:pStyle w:val="Table8ptText-ASDEFCON"/>
            </w:pPr>
          </w:p>
        </w:tc>
      </w:tr>
    </w:tbl>
    <w:p w14:paraId="4EEE7AFF" w14:textId="77777777" w:rsidR="00086824" w:rsidRDefault="00086824" w:rsidP="00DA7657">
      <w:pPr>
        <w:pStyle w:val="ASDEFCONOptionSpace"/>
      </w:pPr>
    </w:p>
    <w:p w14:paraId="2DF168EC" w14:textId="77777777" w:rsidR="00086824" w:rsidRDefault="00086824" w:rsidP="00086824">
      <w:pPr>
        <w:pStyle w:val="ASDEFCONOptionSpace"/>
      </w:pPr>
    </w:p>
    <w:p w14:paraId="6FF23683" w14:textId="27BF9951" w:rsidR="003867D6" w:rsidRDefault="003867D6" w:rsidP="00DA7657">
      <w:pPr>
        <w:pStyle w:val="COTCOCLV1-ASDEFCON"/>
      </w:pPr>
      <w:bookmarkStart w:id="151" w:name="_Toc97811154"/>
      <w:r>
        <w:t>Contractor Standing Capability (OPTIONAL)</w:t>
      </w:r>
      <w:bookmarkEnd w:id="151"/>
    </w:p>
    <w:p w14:paraId="3A223980" w14:textId="0AB61CAC" w:rsidR="003867D6" w:rsidRDefault="003867D6" w:rsidP="003867D6">
      <w:pPr>
        <w:pStyle w:val="NoteToDrafters-ASDEFCON"/>
      </w:pPr>
      <w:r>
        <w:t>Note to drafters:  To be included if the Contractor Standing Capability module is included</w:t>
      </w:r>
      <w:r w:rsidR="007B2611">
        <w:t xml:space="preserve"> as part of the draft Contract</w:t>
      </w:r>
      <w:r>
        <w:t>.  Refer to the CSC Module for more information.</w:t>
      </w:r>
    </w:p>
    <w:p w14:paraId="36CE01A5" w14:textId="77777777" w:rsidR="00086824" w:rsidRPr="001822FD" w:rsidRDefault="00086824" w:rsidP="00DA7657">
      <w:pPr>
        <w:pStyle w:val="ASDEFCONNormal"/>
      </w:pPr>
    </w:p>
    <w:sectPr w:rsidR="00086824" w:rsidRPr="001822FD" w:rsidSect="000F70F4">
      <w:headerReference w:type="default" r:id="rId8"/>
      <w:footerReference w:type="default" r:id="rId9"/>
      <w:headerReference w:type="first" r:id="rId10"/>
      <w:footerReference w:type="first" r:id="rId11"/>
      <w:pgSz w:w="11907" w:h="16839" w:code="9"/>
      <w:pgMar w:top="1304" w:right="1418" w:bottom="90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5DE55" w14:textId="77777777" w:rsidR="00763A07" w:rsidRDefault="00763A07">
      <w:r>
        <w:separator/>
      </w:r>
    </w:p>
  </w:endnote>
  <w:endnote w:type="continuationSeparator" w:id="0">
    <w:p w14:paraId="01C1856B" w14:textId="77777777" w:rsidR="00763A07" w:rsidRDefault="00763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20630" w14:paraId="3DF15A01" w14:textId="77777777" w:rsidTr="00347AD1">
      <w:tc>
        <w:tcPr>
          <w:tcW w:w="2500" w:type="pct"/>
        </w:tcPr>
        <w:p w14:paraId="6DC9FFEC" w14:textId="0F23236C" w:rsidR="00920630" w:rsidRPr="00B059DD" w:rsidRDefault="007B78E8" w:rsidP="007822AB">
          <w:pPr>
            <w:pStyle w:val="ASDEFCONHeaderFooterLeft"/>
          </w:pPr>
          <w:r>
            <w:fldChar w:fldCharType="begin"/>
          </w:r>
          <w:r>
            <w:instrText xml:space="preserve"> DOCPROPERTY  Subject  \* MERGEFORMAT </w:instrText>
          </w:r>
          <w:r>
            <w:fldChar w:fldCharType="separate"/>
          </w:r>
          <w:r w:rsidR="00920630">
            <w:t>Attachment to Draft Conditions of Contract</w:t>
          </w:r>
          <w:r>
            <w:fldChar w:fldCharType="end"/>
          </w:r>
          <w:r w:rsidR="00920630" w:rsidRPr="00B059DD">
            <w:t xml:space="preserve"> (</w:t>
          </w:r>
          <w:r>
            <w:fldChar w:fldCharType="begin"/>
          </w:r>
          <w:r>
            <w:instrText xml:space="preserve"> DOCPROPERTY Version </w:instrText>
          </w:r>
          <w:r>
            <w:fldChar w:fldCharType="separate"/>
          </w:r>
          <w:r w:rsidR="00920630">
            <w:t>V5.0</w:t>
          </w:r>
          <w:r>
            <w:fldChar w:fldCharType="end"/>
          </w:r>
          <w:r w:rsidR="00920630" w:rsidRPr="00B059DD">
            <w:t>)</w:t>
          </w:r>
        </w:p>
      </w:tc>
      <w:tc>
        <w:tcPr>
          <w:tcW w:w="2500" w:type="pct"/>
        </w:tcPr>
        <w:p w14:paraId="796BF70B" w14:textId="0F688CD8" w:rsidR="00920630" w:rsidRPr="00B059DD" w:rsidRDefault="00920630" w:rsidP="007822AB">
          <w:pPr>
            <w:pStyle w:val="ASDEFCONHeaderFooterRight"/>
          </w:pPr>
          <w:r w:rsidRPr="00B059DD">
            <w:t>B-</w:t>
          </w:r>
          <w:r w:rsidRPr="00B059DD">
            <w:fldChar w:fldCharType="begin"/>
          </w:r>
          <w:r w:rsidRPr="00B059DD">
            <w:instrText xml:space="preserve"> PAGE   \* MERGEFORMAT </w:instrText>
          </w:r>
          <w:r w:rsidRPr="00B059DD">
            <w:fldChar w:fldCharType="separate"/>
          </w:r>
          <w:r w:rsidR="007B78E8">
            <w:rPr>
              <w:noProof/>
            </w:rPr>
            <w:t>10</w:t>
          </w:r>
          <w:r w:rsidRPr="00B059DD">
            <w:fldChar w:fldCharType="end"/>
          </w:r>
        </w:p>
      </w:tc>
    </w:tr>
    <w:tr w:rsidR="00920630" w14:paraId="56C4AF48" w14:textId="77777777" w:rsidTr="00347AD1">
      <w:trPr>
        <w:trHeight w:val="74"/>
      </w:trPr>
      <w:tc>
        <w:tcPr>
          <w:tcW w:w="5000" w:type="pct"/>
          <w:gridSpan w:val="2"/>
        </w:tcPr>
        <w:p w14:paraId="6F16BFB0" w14:textId="31882B4B" w:rsidR="00920630" w:rsidRPr="00B059DD" w:rsidRDefault="00920630" w:rsidP="00B059DD">
          <w:pPr>
            <w:pStyle w:val="ASDEFCONNormal"/>
            <w:jc w:val="center"/>
            <w:rPr>
              <w:b/>
            </w:rPr>
          </w:pPr>
          <w:r w:rsidRPr="00B059DD">
            <w:rPr>
              <w:b/>
            </w:rPr>
            <w:fldChar w:fldCharType="begin"/>
          </w:r>
          <w:r w:rsidRPr="00B059DD">
            <w:rPr>
              <w:b/>
            </w:rPr>
            <w:instrText xml:space="preserve"> DOCPROPERTY Classification </w:instrText>
          </w:r>
          <w:r w:rsidRPr="00B059DD">
            <w:rPr>
              <w:b/>
            </w:rPr>
            <w:fldChar w:fldCharType="separate"/>
          </w:r>
          <w:r>
            <w:rPr>
              <w:b/>
            </w:rPr>
            <w:t>OFFICIAL</w:t>
          </w:r>
          <w:r w:rsidRPr="00B059DD">
            <w:rPr>
              <w:b/>
            </w:rPr>
            <w:fldChar w:fldCharType="end"/>
          </w:r>
        </w:p>
      </w:tc>
    </w:tr>
  </w:tbl>
  <w:p w14:paraId="61DA0DE0" w14:textId="11F5A1BE" w:rsidR="00920630" w:rsidRDefault="00920630" w:rsidP="00B059DD">
    <w:pPr>
      <w:pStyle w:val="ASDEFCONHeaderFooterCenter"/>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20630" w14:paraId="6C24FD39" w14:textId="77777777" w:rsidTr="00051024">
      <w:tc>
        <w:tcPr>
          <w:tcW w:w="2500" w:type="pct"/>
        </w:tcPr>
        <w:p w14:paraId="55D87E3B" w14:textId="3BB54C41" w:rsidR="00920630" w:rsidRPr="00B059DD" w:rsidRDefault="00920630" w:rsidP="00B72E3F">
          <w:pPr>
            <w:pStyle w:val="ASDEFCONNormal"/>
            <w:rPr>
              <w:sz w:val="16"/>
              <w:szCs w:val="16"/>
            </w:rPr>
          </w:pPr>
          <w:r w:rsidRPr="00B059DD">
            <w:rPr>
              <w:sz w:val="16"/>
              <w:szCs w:val="16"/>
            </w:rPr>
            <w:fldChar w:fldCharType="begin"/>
          </w:r>
          <w:r w:rsidRPr="00B059DD">
            <w:rPr>
              <w:sz w:val="16"/>
              <w:szCs w:val="16"/>
            </w:rPr>
            <w:instrText xml:space="preserve"> DOCPROPERTY  Subject  \* MERGEFORMAT </w:instrText>
          </w:r>
          <w:r w:rsidRPr="00B059DD">
            <w:rPr>
              <w:sz w:val="16"/>
              <w:szCs w:val="16"/>
            </w:rPr>
            <w:fldChar w:fldCharType="separate"/>
          </w:r>
          <w:r>
            <w:rPr>
              <w:sz w:val="16"/>
              <w:szCs w:val="16"/>
            </w:rPr>
            <w:t>Attachment to Draft Conditions of Contract</w:t>
          </w:r>
          <w:r w:rsidRPr="00B059DD">
            <w:rPr>
              <w:sz w:val="16"/>
              <w:szCs w:val="16"/>
            </w:rPr>
            <w:fldChar w:fldCharType="end"/>
          </w:r>
          <w:r w:rsidRPr="00B059DD">
            <w:rPr>
              <w:sz w:val="16"/>
              <w:szCs w:val="16"/>
            </w:rPr>
            <w:t xml:space="preserve"> (</w:t>
          </w:r>
          <w:r w:rsidRPr="00B059DD">
            <w:rPr>
              <w:sz w:val="16"/>
              <w:szCs w:val="16"/>
            </w:rPr>
            <w:fldChar w:fldCharType="begin"/>
          </w:r>
          <w:r w:rsidRPr="00B059DD">
            <w:rPr>
              <w:sz w:val="16"/>
              <w:szCs w:val="16"/>
            </w:rPr>
            <w:instrText xml:space="preserve"> DOCPROPERTY Version </w:instrText>
          </w:r>
          <w:r w:rsidRPr="00B059DD">
            <w:rPr>
              <w:sz w:val="16"/>
              <w:szCs w:val="16"/>
            </w:rPr>
            <w:fldChar w:fldCharType="separate"/>
          </w:r>
          <w:r>
            <w:rPr>
              <w:sz w:val="16"/>
              <w:szCs w:val="16"/>
            </w:rPr>
            <w:t>V5.0</w:t>
          </w:r>
          <w:r w:rsidRPr="00B059DD">
            <w:rPr>
              <w:sz w:val="16"/>
              <w:szCs w:val="16"/>
            </w:rPr>
            <w:fldChar w:fldCharType="end"/>
          </w:r>
          <w:r w:rsidRPr="00B059DD">
            <w:rPr>
              <w:sz w:val="16"/>
              <w:szCs w:val="16"/>
            </w:rPr>
            <w:t>)</w:t>
          </w:r>
        </w:p>
      </w:tc>
      <w:tc>
        <w:tcPr>
          <w:tcW w:w="2500" w:type="pct"/>
        </w:tcPr>
        <w:p w14:paraId="6D6F9145" w14:textId="22C7F31A" w:rsidR="00920630" w:rsidRPr="00B059DD" w:rsidRDefault="00920630" w:rsidP="00232471">
          <w:pPr>
            <w:pStyle w:val="ASDEFCONNormal"/>
            <w:jc w:val="right"/>
            <w:rPr>
              <w:sz w:val="16"/>
              <w:szCs w:val="16"/>
            </w:rPr>
          </w:pPr>
          <w:r w:rsidRPr="00B059DD">
            <w:rPr>
              <w:sz w:val="16"/>
              <w:szCs w:val="16"/>
            </w:rPr>
            <w:t>B-</w:t>
          </w:r>
          <w:r w:rsidRPr="00B059DD">
            <w:rPr>
              <w:sz w:val="16"/>
              <w:szCs w:val="16"/>
            </w:rPr>
            <w:fldChar w:fldCharType="begin"/>
          </w:r>
          <w:r w:rsidRPr="00B059DD">
            <w:rPr>
              <w:sz w:val="16"/>
              <w:szCs w:val="16"/>
            </w:rPr>
            <w:instrText xml:space="preserve"> PAGE   \* MERGEFORMAT </w:instrText>
          </w:r>
          <w:r w:rsidRPr="00B059DD">
            <w:rPr>
              <w:sz w:val="16"/>
              <w:szCs w:val="16"/>
            </w:rPr>
            <w:fldChar w:fldCharType="separate"/>
          </w:r>
          <w:r>
            <w:rPr>
              <w:noProof/>
              <w:sz w:val="16"/>
              <w:szCs w:val="16"/>
            </w:rPr>
            <w:t>1</w:t>
          </w:r>
          <w:r w:rsidRPr="00B059DD">
            <w:rPr>
              <w:sz w:val="16"/>
              <w:szCs w:val="16"/>
            </w:rPr>
            <w:fldChar w:fldCharType="end"/>
          </w:r>
        </w:p>
      </w:tc>
    </w:tr>
    <w:tr w:rsidR="00920630" w14:paraId="1DAED646" w14:textId="77777777" w:rsidTr="00051024">
      <w:trPr>
        <w:trHeight w:val="74"/>
      </w:trPr>
      <w:tc>
        <w:tcPr>
          <w:tcW w:w="5000" w:type="pct"/>
          <w:gridSpan w:val="2"/>
        </w:tcPr>
        <w:p w14:paraId="621368F8" w14:textId="3A1AE75C" w:rsidR="00920630" w:rsidRPr="00B059DD" w:rsidRDefault="00920630" w:rsidP="00B059DD">
          <w:pPr>
            <w:pStyle w:val="ASDEFCONNormal"/>
            <w:jc w:val="center"/>
            <w:rPr>
              <w:b/>
            </w:rPr>
          </w:pPr>
          <w:r w:rsidRPr="00B059DD">
            <w:rPr>
              <w:b/>
            </w:rPr>
            <w:fldChar w:fldCharType="begin"/>
          </w:r>
          <w:r w:rsidRPr="00B059DD">
            <w:rPr>
              <w:b/>
            </w:rPr>
            <w:instrText xml:space="preserve"> DOCPROPERTY Classification </w:instrText>
          </w:r>
          <w:r w:rsidRPr="00B059DD">
            <w:rPr>
              <w:b/>
            </w:rPr>
            <w:fldChar w:fldCharType="separate"/>
          </w:r>
          <w:r>
            <w:rPr>
              <w:b/>
            </w:rPr>
            <w:t>OFFICIAL</w:t>
          </w:r>
          <w:r w:rsidRPr="00B059DD">
            <w:rPr>
              <w:b/>
            </w:rPr>
            <w:fldChar w:fldCharType="end"/>
          </w:r>
        </w:p>
      </w:tc>
    </w:tr>
  </w:tbl>
  <w:p w14:paraId="74E8336F" w14:textId="78A82764" w:rsidR="00920630" w:rsidRPr="00986787" w:rsidRDefault="00920630" w:rsidP="00505B01">
    <w:pPr>
      <w:pStyle w:val="ASDEFCONHeaderFooter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34C7C" w14:textId="77777777" w:rsidR="00763A07" w:rsidRDefault="00763A07">
      <w:r>
        <w:separator/>
      </w:r>
    </w:p>
  </w:footnote>
  <w:footnote w:type="continuationSeparator" w:id="0">
    <w:p w14:paraId="6FA300FC" w14:textId="77777777" w:rsidR="00763A07" w:rsidRDefault="00763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20630" w14:paraId="0486CDE8" w14:textId="77777777" w:rsidTr="00051024">
      <w:tc>
        <w:tcPr>
          <w:tcW w:w="5000" w:type="pct"/>
          <w:gridSpan w:val="2"/>
        </w:tcPr>
        <w:p w14:paraId="34999F73" w14:textId="7B6FD970" w:rsidR="00920630" w:rsidRPr="00B059DD" w:rsidRDefault="00920630" w:rsidP="00B059DD">
          <w:pPr>
            <w:pStyle w:val="ASDEFCONNormal"/>
            <w:jc w:val="center"/>
            <w:rPr>
              <w:b/>
            </w:rPr>
          </w:pPr>
          <w:r w:rsidRPr="00B059DD">
            <w:rPr>
              <w:b/>
            </w:rPr>
            <w:fldChar w:fldCharType="begin"/>
          </w:r>
          <w:r w:rsidRPr="00B059DD">
            <w:rPr>
              <w:b/>
            </w:rPr>
            <w:instrText xml:space="preserve"> DOCPROPERTY Classification </w:instrText>
          </w:r>
          <w:r w:rsidRPr="00B059DD">
            <w:rPr>
              <w:b/>
            </w:rPr>
            <w:fldChar w:fldCharType="separate"/>
          </w:r>
          <w:r>
            <w:rPr>
              <w:b/>
            </w:rPr>
            <w:t>OFFICIAL</w:t>
          </w:r>
          <w:r w:rsidRPr="00B059DD">
            <w:rPr>
              <w:b/>
            </w:rPr>
            <w:fldChar w:fldCharType="end"/>
          </w:r>
        </w:p>
      </w:tc>
    </w:tr>
    <w:tr w:rsidR="00920630" w14:paraId="60A419B0" w14:textId="77777777" w:rsidTr="00051024">
      <w:tc>
        <w:tcPr>
          <w:tcW w:w="2500" w:type="pct"/>
        </w:tcPr>
        <w:p w14:paraId="4295E990" w14:textId="46DC3862" w:rsidR="00920630" w:rsidRPr="00B059DD" w:rsidRDefault="007B78E8" w:rsidP="007822AB">
          <w:pPr>
            <w:pStyle w:val="ASDEFCONHeaderFooterLeft"/>
          </w:pPr>
          <w:r>
            <w:fldChar w:fldCharType="begin"/>
          </w:r>
          <w:r>
            <w:instrText xml:space="preserve"> TITLE   \* MERGEFORMAT </w:instrText>
          </w:r>
          <w:r>
            <w:fldChar w:fldCharType="separate"/>
          </w:r>
          <w:r w:rsidR="00920630">
            <w:t>ASDEFCON (Support)</w:t>
          </w:r>
          <w:r>
            <w:fldChar w:fldCharType="end"/>
          </w:r>
        </w:p>
      </w:tc>
      <w:tc>
        <w:tcPr>
          <w:tcW w:w="2500" w:type="pct"/>
        </w:tcPr>
        <w:p w14:paraId="0C2E2091" w14:textId="0BEDCFA1" w:rsidR="00920630" w:rsidRPr="00B059DD" w:rsidRDefault="007B78E8" w:rsidP="007822AB">
          <w:pPr>
            <w:pStyle w:val="ASDEFCONHeaderFooterRight"/>
          </w:pPr>
          <w:r>
            <w:fldChar w:fldCharType="begin"/>
          </w:r>
          <w:r>
            <w:instrText xml:space="preserve"> DOCPROPERTY  Category  \* MERGEFORMAT </w:instrText>
          </w:r>
          <w:r>
            <w:fldChar w:fldCharType="separate"/>
          </w:r>
          <w:r w:rsidR="00920630">
            <w:t>PART 2</w:t>
          </w:r>
          <w:r>
            <w:fldChar w:fldCharType="end"/>
          </w:r>
        </w:p>
      </w:tc>
    </w:tr>
  </w:tbl>
  <w:p w14:paraId="05171C84" w14:textId="770A7385" w:rsidR="00920630" w:rsidRDefault="00920630">
    <w:pPr>
      <w:pStyle w:val="AttachmentHeading"/>
    </w:pPr>
    <w:r>
      <w:t>ATTACHMENT B</w:t>
    </w:r>
  </w:p>
  <w:p w14:paraId="10FB2D19" w14:textId="77777777" w:rsidR="00920630" w:rsidRDefault="00920630">
    <w:pPr>
      <w:pStyle w:val="AttachmentHeading"/>
      <w:rPr>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920630" w14:paraId="6FF5C913" w14:textId="77777777" w:rsidTr="00051024">
      <w:tc>
        <w:tcPr>
          <w:tcW w:w="5000" w:type="pct"/>
          <w:gridSpan w:val="2"/>
        </w:tcPr>
        <w:p w14:paraId="6272FA36" w14:textId="07D790AD" w:rsidR="00920630" w:rsidRPr="00B059DD" w:rsidRDefault="00920630" w:rsidP="00B059DD">
          <w:pPr>
            <w:pStyle w:val="ASDEFCONNormal"/>
            <w:jc w:val="center"/>
            <w:rPr>
              <w:b/>
            </w:rPr>
          </w:pPr>
          <w:r w:rsidRPr="00B059DD">
            <w:rPr>
              <w:b/>
            </w:rPr>
            <w:fldChar w:fldCharType="begin"/>
          </w:r>
          <w:r w:rsidRPr="00B059DD">
            <w:rPr>
              <w:b/>
            </w:rPr>
            <w:instrText xml:space="preserve"> DOCPROPERTY Classification </w:instrText>
          </w:r>
          <w:r w:rsidRPr="00B059DD">
            <w:rPr>
              <w:b/>
            </w:rPr>
            <w:fldChar w:fldCharType="separate"/>
          </w:r>
          <w:r>
            <w:rPr>
              <w:b/>
            </w:rPr>
            <w:t>OFFICIAL</w:t>
          </w:r>
          <w:r w:rsidRPr="00B059DD">
            <w:rPr>
              <w:b/>
            </w:rPr>
            <w:fldChar w:fldCharType="end"/>
          </w:r>
        </w:p>
      </w:tc>
    </w:tr>
    <w:tr w:rsidR="00920630" w14:paraId="137AD3F7" w14:textId="77777777" w:rsidTr="00051024">
      <w:tc>
        <w:tcPr>
          <w:tcW w:w="2500" w:type="pct"/>
        </w:tcPr>
        <w:p w14:paraId="432FC77A" w14:textId="709F9B43" w:rsidR="00920630" w:rsidRPr="00B059DD" w:rsidRDefault="00920630" w:rsidP="00B72E3F">
          <w:pPr>
            <w:pStyle w:val="ASDEFCONNormal"/>
            <w:rPr>
              <w:sz w:val="16"/>
              <w:szCs w:val="16"/>
            </w:rPr>
          </w:pPr>
          <w:r w:rsidRPr="00B059DD">
            <w:rPr>
              <w:sz w:val="16"/>
              <w:szCs w:val="16"/>
            </w:rPr>
            <w:fldChar w:fldCharType="begin"/>
          </w:r>
          <w:r w:rsidRPr="00B059DD">
            <w:rPr>
              <w:sz w:val="16"/>
              <w:szCs w:val="16"/>
            </w:rPr>
            <w:instrText xml:space="preserve"> TITLE   \* MERGEFORMAT </w:instrText>
          </w:r>
          <w:r w:rsidRPr="00B059DD">
            <w:rPr>
              <w:sz w:val="16"/>
              <w:szCs w:val="16"/>
            </w:rPr>
            <w:fldChar w:fldCharType="separate"/>
          </w:r>
          <w:r>
            <w:rPr>
              <w:sz w:val="16"/>
              <w:szCs w:val="16"/>
            </w:rPr>
            <w:t>ASDEFCON (Support)</w:t>
          </w:r>
          <w:r w:rsidRPr="00B059DD">
            <w:rPr>
              <w:sz w:val="16"/>
              <w:szCs w:val="16"/>
            </w:rPr>
            <w:fldChar w:fldCharType="end"/>
          </w:r>
        </w:p>
      </w:tc>
      <w:tc>
        <w:tcPr>
          <w:tcW w:w="2500" w:type="pct"/>
        </w:tcPr>
        <w:p w14:paraId="1B046A9D" w14:textId="44C4C65D" w:rsidR="00920630" w:rsidRPr="00B059DD" w:rsidRDefault="00920630" w:rsidP="00B059DD">
          <w:pPr>
            <w:pStyle w:val="ASDEFCONNormal"/>
            <w:jc w:val="right"/>
            <w:rPr>
              <w:sz w:val="16"/>
              <w:szCs w:val="16"/>
            </w:rPr>
          </w:pPr>
          <w:r w:rsidRPr="00B059DD">
            <w:rPr>
              <w:sz w:val="16"/>
              <w:szCs w:val="16"/>
            </w:rPr>
            <w:fldChar w:fldCharType="begin"/>
          </w:r>
          <w:r w:rsidRPr="00B059DD">
            <w:rPr>
              <w:sz w:val="16"/>
              <w:szCs w:val="16"/>
            </w:rPr>
            <w:instrText xml:space="preserve"> DOCPROPERTY  Category  \* MERGEFORMAT </w:instrText>
          </w:r>
          <w:r w:rsidRPr="00B059DD">
            <w:rPr>
              <w:sz w:val="16"/>
              <w:szCs w:val="16"/>
            </w:rPr>
            <w:fldChar w:fldCharType="separate"/>
          </w:r>
          <w:r>
            <w:rPr>
              <w:sz w:val="16"/>
              <w:szCs w:val="16"/>
            </w:rPr>
            <w:t>PART 2</w:t>
          </w:r>
          <w:r w:rsidRPr="00B059DD">
            <w:rPr>
              <w:sz w:val="16"/>
              <w:szCs w:val="16"/>
            </w:rPr>
            <w:fldChar w:fldCharType="end"/>
          </w:r>
        </w:p>
      </w:tc>
    </w:tr>
  </w:tbl>
  <w:p w14:paraId="6A2276C8" w14:textId="77777777" w:rsidR="00920630" w:rsidRDefault="00920630" w:rsidP="0025745D">
    <w:pPr>
      <w:pStyle w:val="ASDEFCONHeaderFooterCenter"/>
    </w:pPr>
  </w:p>
  <w:p w14:paraId="1DE83D25" w14:textId="77777777" w:rsidR="00920630" w:rsidRDefault="00920630" w:rsidP="00986787">
    <w:pPr>
      <w:pStyle w:val="AttachmentHeading"/>
      <w:rPr>
        <w:sz w:val="16"/>
      </w:rPr>
    </w:pPr>
    <w:r>
      <w:t>ANNEX G TO ATTACHMENT B</w:t>
    </w:r>
  </w:p>
  <w:p w14:paraId="717E7BFF" w14:textId="77777777" w:rsidR="00920630" w:rsidRPr="00986787" w:rsidRDefault="00920630" w:rsidP="00891324">
    <w:pPr>
      <w:pStyle w:val="ASDEFCONHeaderFooter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26B7"/>
    <w:multiLevelType w:val="hybridMultilevel"/>
    <w:tmpl w:val="CCAA310E"/>
    <w:lvl w:ilvl="0" w:tplc="0C090015">
      <w:start w:val="1"/>
      <w:numFmt w:val="upperLetter"/>
      <w:lvlText w:val="%1."/>
      <w:lvlJc w:val="left"/>
      <w:pPr>
        <w:ind w:left="1211"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5A95C40"/>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B83736"/>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61F581F"/>
    <w:multiLevelType w:val="multilevel"/>
    <w:tmpl w:val="1C44D66C"/>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cs="Times New Roman" w:hint="default"/>
        <w:b/>
        <w:i w:val="0"/>
        <w:sz w:val="20"/>
      </w:rPr>
    </w:lvl>
    <w:lvl w:ilvl="1">
      <w:start w:val="1"/>
      <w:numFmt w:val="decimal"/>
      <w:pStyle w:val="TextLevel2"/>
      <w:lvlText w:val="%1.%2"/>
      <w:lvlJc w:val="left"/>
      <w:pPr>
        <w:tabs>
          <w:tab w:val="num" w:pos="907"/>
        </w:tabs>
        <w:ind w:left="907" w:hanging="907"/>
      </w:pPr>
      <w:rPr>
        <w:rFonts w:ascii="Arial" w:hAnsi="Arial" w:cs="Times New Roman" w:hint="default"/>
        <w:sz w:val="20"/>
      </w:rPr>
    </w:lvl>
    <w:lvl w:ilvl="2">
      <w:start w:val="1"/>
      <w:numFmt w:val="decimal"/>
      <w:lvlText w:val="%1.%2."/>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1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cs="Times New Roman" w:hint="default"/>
        <w:b/>
        <w:i w:val="0"/>
        <w:sz w:val="20"/>
      </w:rPr>
    </w:lvl>
    <w:lvl w:ilvl="1">
      <w:start w:val="1"/>
      <w:numFmt w:val="decimal"/>
      <w:lvlRestart w:val="0"/>
      <w:lvlText w:val="%2.%1"/>
      <w:lvlJc w:val="left"/>
      <w:pPr>
        <w:tabs>
          <w:tab w:val="num" w:pos="576"/>
        </w:tabs>
        <w:ind w:left="576" w:hanging="576"/>
      </w:pPr>
      <w:rPr>
        <w:rFonts w:cs="Times New Roman"/>
      </w:rPr>
    </w:lvl>
    <w:lvl w:ilvl="2">
      <w:start w:val="1"/>
      <w:numFmt w:val="lowerLetter"/>
      <w:lvlRestart w:val="0"/>
      <w:pStyle w:val="spara"/>
      <w:lvlText w:val="%3."/>
      <w:lvlJc w:val="left"/>
      <w:pPr>
        <w:tabs>
          <w:tab w:val="num" w:pos="720"/>
        </w:tabs>
        <w:ind w:left="720" w:hanging="720"/>
      </w:pPr>
      <w:rPr>
        <w:rFonts w:cs="Times New Roman"/>
      </w:rPr>
    </w:lvl>
    <w:lvl w:ilvl="3">
      <w:start w:val="1"/>
      <w:numFmt w:val="lowerRoman"/>
      <w:pStyle w:val="spara"/>
      <w:lvlText w:val="(%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5BB2FA4"/>
    <w:multiLevelType w:val="multilevel"/>
    <w:tmpl w:val="8DE2AE1E"/>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3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7"/>
  </w:num>
  <w:num w:numId="4">
    <w:abstractNumId w:val="25"/>
  </w:num>
  <w:num w:numId="5">
    <w:abstractNumId w:val="11"/>
  </w:num>
  <w:num w:numId="6">
    <w:abstractNumId w:val="30"/>
  </w:num>
  <w:num w:numId="7">
    <w:abstractNumId w:val="42"/>
  </w:num>
  <w:num w:numId="8">
    <w:abstractNumId w:val="31"/>
    <w:lvlOverride w:ilvl="0">
      <w:startOverride w:val="1"/>
    </w:lvlOverride>
  </w:num>
  <w:num w:numId="9">
    <w:abstractNumId w:val="36"/>
  </w:num>
  <w:num w:numId="10">
    <w:abstractNumId w:val="17"/>
  </w:num>
  <w:num w:numId="11">
    <w:abstractNumId w:val="19"/>
  </w:num>
  <w:num w:numId="12">
    <w:abstractNumId w:val="38"/>
  </w:num>
  <w:num w:numId="13">
    <w:abstractNumId w:val="26"/>
  </w:num>
  <w:num w:numId="14">
    <w:abstractNumId w:val="32"/>
  </w:num>
  <w:num w:numId="15">
    <w:abstractNumId w:val="43"/>
  </w:num>
  <w:num w:numId="16">
    <w:abstractNumId w:val="20"/>
  </w:num>
  <w:num w:numId="17">
    <w:abstractNumId w:val="23"/>
  </w:num>
  <w:num w:numId="18">
    <w:abstractNumId w:val="45"/>
  </w:num>
  <w:num w:numId="19">
    <w:abstractNumId w:val="16"/>
  </w:num>
  <w:num w:numId="20">
    <w:abstractNumId w:val="13"/>
  </w:num>
  <w:num w:numId="21">
    <w:abstractNumId w:val="3"/>
  </w:num>
  <w:num w:numId="22">
    <w:abstractNumId w:val="8"/>
  </w:num>
  <w:num w:numId="23">
    <w:abstractNumId w:val="22"/>
  </w:num>
  <w:num w:numId="24">
    <w:abstractNumId w:val="2"/>
  </w:num>
  <w:num w:numId="25">
    <w:abstractNumId w:val="27"/>
  </w:num>
  <w:num w:numId="26">
    <w:abstractNumId w:val="40"/>
  </w:num>
  <w:num w:numId="27">
    <w:abstractNumId w:val="37"/>
  </w:num>
  <w:num w:numId="28">
    <w:abstractNumId w:val="24"/>
  </w:num>
  <w:num w:numId="29">
    <w:abstractNumId w:val="0"/>
  </w:num>
  <w:num w:numId="30">
    <w:abstractNumId w:val="6"/>
  </w:num>
  <w:num w:numId="31">
    <w:abstractNumId w:val="5"/>
  </w:num>
  <w:num w:numId="32">
    <w:abstractNumId w:val="1"/>
  </w:num>
  <w:num w:numId="33">
    <w:abstractNumId w:val="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1"/>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0"/>
  </w:num>
  <w:num w:numId="43">
    <w:abstractNumId w:val="44"/>
  </w:num>
  <w:num w:numId="44">
    <w:abstractNumId w:val="21"/>
  </w:num>
  <w:num w:numId="45">
    <w:abstractNumId w:val="29"/>
  </w:num>
  <w:num w:numId="46">
    <w:abstractNumId w:val="14"/>
  </w:num>
  <w:num w:numId="47">
    <w:abstractNumId w:val="4"/>
  </w:num>
  <w:num w:numId="48">
    <w:abstractNumId w:val="34"/>
  </w:num>
  <w:num w:numId="49">
    <w:abstractNumId w:val="35"/>
  </w:num>
  <w:num w:numId="50">
    <w:abstractNumId w:val="41"/>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1"/>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6"/>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36"/>
  </w:num>
  <w:num w:numId="69">
    <w:abstractNumId w:val="36"/>
  </w:num>
  <w:num w:numId="70">
    <w:abstractNumId w:val="36"/>
  </w:num>
  <w:num w:numId="71">
    <w:abstractNumId w:val="36"/>
  </w:num>
  <w:num w:numId="72">
    <w:abstractNumId w:val="36"/>
  </w:num>
  <w:num w:numId="73">
    <w:abstractNumId w:val="3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008340.1"/>
  </w:docVars>
  <w:rsids>
    <w:rsidRoot w:val="006C6ECB"/>
    <w:rsid w:val="00001E91"/>
    <w:rsid w:val="000037F0"/>
    <w:rsid w:val="00004EBD"/>
    <w:rsid w:val="000060C2"/>
    <w:rsid w:val="00007011"/>
    <w:rsid w:val="0000722C"/>
    <w:rsid w:val="00010911"/>
    <w:rsid w:val="0001109B"/>
    <w:rsid w:val="00012B0C"/>
    <w:rsid w:val="000163CF"/>
    <w:rsid w:val="00017551"/>
    <w:rsid w:val="00021AF0"/>
    <w:rsid w:val="00022720"/>
    <w:rsid w:val="00023ACA"/>
    <w:rsid w:val="00023DBC"/>
    <w:rsid w:val="000253EA"/>
    <w:rsid w:val="00025D50"/>
    <w:rsid w:val="00025ED6"/>
    <w:rsid w:val="000262DC"/>
    <w:rsid w:val="000265D3"/>
    <w:rsid w:val="00027725"/>
    <w:rsid w:val="000278D9"/>
    <w:rsid w:val="0002792B"/>
    <w:rsid w:val="00027A6D"/>
    <w:rsid w:val="00027BC4"/>
    <w:rsid w:val="00031215"/>
    <w:rsid w:val="0003286B"/>
    <w:rsid w:val="00033FC0"/>
    <w:rsid w:val="0003689B"/>
    <w:rsid w:val="0003747A"/>
    <w:rsid w:val="00037A16"/>
    <w:rsid w:val="000404C4"/>
    <w:rsid w:val="00042B02"/>
    <w:rsid w:val="00043391"/>
    <w:rsid w:val="000445AC"/>
    <w:rsid w:val="00047966"/>
    <w:rsid w:val="000479FC"/>
    <w:rsid w:val="00050692"/>
    <w:rsid w:val="00051024"/>
    <w:rsid w:val="000516E6"/>
    <w:rsid w:val="00051D3E"/>
    <w:rsid w:val="00055501"/>
    <w:rsid w:val="00055905"/>
    <w:rsid w:val="000562C7"/>
    <w:rsid w:val="000567CE"/>
    <w:rsid w:val="00057128"/>
    <w:rsid w:val="00060022"/>
    <w:rsid w:val="0006199A"/>
    <w:rsid w:val="00062614"/>
    <w:rsid w:val="00062EC4"/>
    <w:rsid w:val="000636B3"/>
    <w:rsid w:val="000642C5"/>
    <w:rsid w:val="000661CC"/>
    <w:rsid w:val="00071B17"/>
    <w:rsid w:val="00074515"/>
    <w:rsid w:val="000757F7"/>
    <w:rsid w:val="000773E1"/>
    <w:rsid w:val="00077C58"/>
    <w:rsid w:val="00077EEC"/>
    <w:rsid w:val="00080944"/>
    <w:rsid w:val="0008153B"/>
    <w:rsid w:val="00084380"/>
    <w:rsid w:val="00086824"/>
    <w:rsid w:val="0008737B"/>
    <w:rsid w:val="00087A58"/>
    <w:rsid w:val="00090B16"/>
    <w:rsid w:val="00091965"/>
    <w:rsid w:val="00092C4D"/>
    <w:rsid w:val="00094A2D"/>
    <w:rsid w:val="00096A34"/>
    <w:rsid w:val="00096A6D"/>
    <w:rsid w:val="00097337"/>
    <w:rsid w:val="00097CD8"/>
    <w:rsid w:val="000A03C8"/>
    <w:rsid w:val="000A2B2F"/>
    <w:rsid w:val="000A5760"/>
    <w:rsid w:val="000A5ACA"/>
    <w:rsid w:val="000A6ED3"/>
    <w:rsid w:val="000B0351"/>
    <w:rsid w:val="000B0BF4"/>
    <w:rsid w:val="000B2E69"/>
    <w:rsid w:val="000B2EAB"/>
    <w:rsid w:val="000B3AD9"/>
    <w:rsid w:val="000B4ADF"/>
    <w:rsid w:val="000B4DF2"/>
    <w:rsid w:val="000B4EAB"/>
    <w:rsid w:val="000B6CA9"/>
    <w:rsid w:val="000B7883"/>
    <w:rsid w:val="000C0134"/>
    <w:rsid w:val="000C100A"/>
    <w:rsid w:val="000C2425"/>
    <w:rsid w:val="000C2509"/>
    <w:rsid w:val="000C32F3"/>
    <w:rsid w:val="000C502A"/>
    <w:rsid w:val="000C5200"/>
    <w:rsid w:val="000C5354"/>
    <w:rsid w:val="000C6FDC"/>
    <w:rsid w:val="000C74A3"/>
    <w:rsid w:val="000D5869"/>
    <w:rsid w:val="000D5EFF"/>
    <w:rsid w:val="000D6F16"/>
    <w:rsid w:val="000D7B64"/>
    <w:rsid w:val="000D7C54"/>
    <w:rsid w:val="000E020D"/>
    <w:rsid w:val="000E083F"/>
    <w:rsid w:val="000E1373"/>
    <w:rsid w:val="000E30C6"/>
    <w:rsid w:val="000E313A"/>
    <w:rsid w:val="000E3773"/>
    <w:rsid w:val="000E459C"/>
    <w:rsid w:val="000E62D5"/>
    <w:rsid w:val="000E6B73"/>
    <w:rsid w:val="000F5FA2"/>
    <w:rsid w:val="000F70F4"/>
    <w:rsid w:val="000F796B"/>
    <w:rsid w:val="001003C3"/>
    <w:rsid w:val="00101636"/>
    <w:rsid w:val="00102C47"/>
    <w:rsid w:val="00103CD7"/>
    <w:rsid w:val="00103E16"/>
    <w:rsid w:val="00111E9F"/>
    <w:rsid w:val="00112F31"/>
    <w:rsid w:val="00113B42"/>
    <w:rsid w:val="00114D54"/>
    <w:rsid w:val="00115A82"/>
    <w:rsid w:val="00116BBA"/>
    <w:rsid w:val="00121275"/>
    <w:rsid w:val="0012350A"/>
    <w:rsid w:val="00124B8A"/>
    <w:rsid w:val="00125822"/>
    <w:rsid w:val="00125C47"/>
    <w:rsid w:val="001260E7"/>
    <w:rsid w:val="00126BE7"/>
    <w:rsid w:val="00130C99"/>
    <w:rsid w:val="001316C1"/>
    <w:rsid w:val="0013186E"/>
    <w:rsid w:val="00131CC1"/>
    <w:rsid w:val="00133412"/>
    <w:rsid w:val="001342A6"/>
    <w:rsid w:val="001358D5"/>
    <w:rsid w:val="00136254"/>
    <w:rsid w:val="00141659"/>
    <w:rsid w:val="001419CB"/>
    <w:rsid w:val="00141BE1"/>
    <w:rsid w:val="00143870"/>
    <w:rsid w:val="00143C72"/>
    <w:rsid w:val="001451C5"/>
    <w:rsid w:val="00145C0E"/>
    <w:rsid w:val="00145E22"/>
    <w:rsid w:val="00147968"/>
    <w:rsid w:val="0015154D"/>
    <w:rsid w:val="00151C64"/>
    <w:rsid w:val="001528C6"/>
    <w:rsid w:val="0015326A"/>
    <w:rsid w:val="00153CBD"/>
    <w:rsid w:val="00154F36"/>
    <w:rsid w:val="00155FDC"/>
    <w:rsid w:val="00156589"/>
    <w:rsid w:val="001568D1"/>
    <w:rsid w:val="00156E71"/>
    <w:rsid w:val="00156FDE"/>
    <w:rsid w:val="001573DE"/>
    <w:rsid w:val="001606BC"/>
    <w:rsid w:val="00160907"/>
    <w:rsid w:val="00160B5A"/>
    <w:rsid w:val="00162E08"/>
    <w:rsid w:val="001669E2"/>
    <w:rsid w:val="00166C42"/>
    <w:rsid w:val="00170D00"/>
    <w:rsid w:val="00172068"/>
    <w:rsid w:val="00172F32"/>
    <w:rsid w:val="001739C2"/>
    <w:rsid w:val="00174500"/>
    <w:rsid w:val="00175D38"/>
    <w:rsid w:val="00177357"/>
    <w:rsid w:val="00180223"/>
    <w:rsid w:val="001822FD"/>
    <w:rsid w:val="00182650"/>
    <w:rsid w:val="00183013"/>
    <w:rsid w:val="00183B56"/>
    <w:rsid w:val="001847B3"/>
    <w:rsid w:val="00184E79"/>
    <w:rsid w:val="00185409"/>
    <w:rsid w:val="00185893"/>
    <w:rsid w:val="00186F88"/>
    <w:rsid w:val="00190AE3"/>
    <w:rsid w:val="001916B5"/>
    <w:rsid w:val="00192597"/>
    <w:rsid w:val="00195830"/>
    <w:rsid w:val="00195ACA"/>
    <w:rsid w:val="001A17D9"/>
    <w:rsid w:val="001A4B28"/>
    <w:rsid w:val="001A4FF4"/>
    <w:rsid w:val="001A7F86"/>
    <w:rsid w:val="001B2D58"/>
    <w:rsid w:val="001B3293"/>
    <w:rsid w:val="001B32F3"/>
    <w:rsid w:val="001B4598"/>
    <w:rsid w:val="001B4B55"/>
    <w:rsid w:val="001B7647"/>
    <w:rsid w:val="001B7717"/>
    <w:rsid w:val="001C072B"/>
    <w:rsid w:val="001C2635"/>
    <w:rsid w:val="001C361E"/>
    <w:rsid w:val="001C4028"/>
    <w:rsid w:val="001C628D"/>
    <w:rsid w:val="001C6337"/>
    <w:rsid w:val="001C69FA"/>
    <w:rsid w:val="001C7293"/>
    <w:rsid w:val="001D051F"/>
    <w:rsid w:val="001D1AE8"/>
    <w:rsid w:val="001D28AF"/>
    <w:rsid w:val="001D2CE0"/>
    <w:rsid w:val="001D48E0"/>
    <w:rsid w:val="001D58D6"/>
    <w:rsid w:val="001D636D"/>
    <w:rsid w:val="001D69AB"/>
    <w:rsid w:val="001E18A7"/>
    <w:rsid w:val="001E250C"/>
    <w:rsid w:val="001E5DFA"/>
    <w:rsid w:val="001E731E"/>
    <w:rsid w:val="001E7833"/>
    <w:rsid w:val="001F040A"/>
    <w:rsid w:val="001F09C6"/>
    <w:rsid w:val="001F10D5"/>
    <w:rsid w:val="001F2219"/>
    <w:rsid w:val="001F29A9"/>
    <w:rsid w:val="001F311A"/>
    <w:rsid w:val="001F3301"/>
    <w:rsid w:val="001F50B4"/>
    <w:rsid w:val="001F57BD"/>
    <w:rsid w:val="001F57C4"/>
    <w:rsid w:val="001F6E5E"/>
    <w:rsid w:val="001F7E3A"/>
    <w:rsid w:val="002009A6"/>
    <w:rsid w:val="00200A20"/>
    <w:rsid w:val="00201C32"/>
    <w:rsid w:val="00201E6D"/>
    <w:rsid w:val="002030A0"/>
    <w:rsid w:val="00204286"/>
    <w:rsid w:val="00205A19"/>
    <w:rsid w:val="00206B5F"/>
    <w:rsid w:val="00206CD7"/>
    <w:rsid w:val="002102D6"/>
    <w:rsid w:val="0021030B"/>
    <w:rsid w:val="00212D5C"/>
    <w:rsid w:val="00213E9D"/>
    <w:rsid w:val="00214A37"/>
    <w:rsid w:val="00214AFD"/>
    <w:rsid w:val="00215597"/>
    <w:rsid w:val="00215B51"/>
    <w:rsid w:val="0022134E"/>
    <w:rsid w:val="00224F81"/>
    <w:rsid w:val="00226944"/>
    <w:rsid w:val="00227223"/>
    <w:rsid w:val="00227C37"/>
    <w:rsid w:val="00231CB6"/>
    <w:rsid w:val="00232471"/>
    <w:rsid w:val="00233B10"/>
    <w:rsid w:val="00234238"/>
    <w:rsid w:val="00235453"/>
    <w:rsid w:val="00241258"/>
    <w:rsid w:val="00244A0A"/>
    <w:rsid w:val="0024501F"/>
    <w:rsid w:val="002452AA"/>
    <w:rsid w:val="00252117"/>
    <w:rsid w:val="00252380"/>
    <w:rsid w:val="00252A30"/>
    <w:rsid w:val="00252B5B"/>
    <w:rsid w:val="00253589"/>
    <w:rsid w:val="00253DCD"/>
    <w:rsid w:val="0025491A"/>
    <w:rsid w:val="00254C31"/>
    <w:rsid w:val="0025745D"/>
    <w:rsid w:val="00257AAE"/>
    <w:rsid w:val="00260BC9"/>
    <w:rsid w:val="0026163E"/>
    <w:rsid w:val="00262331"/>
    <w:rsid w:val="00266AF3"/>
    <w:rsid w:val="00267154"/>
    <w:rsid w:val="00267176"/>
    <w:rsid w:val="002673EB"/>
    <w:rsid w:val="00271EBA"/>
    <w:rsid w:val="002726F5"/>
    <w:rsid w:val="00272832"/>
    <w:rsid w:val="00273210"/>
    <w:rsid w:val="00273AD2"/>
    <w:rsid w:val="00274907"/>
    <w:rsid w:val="0027705C"/>
    <w:rsid w:val="00280B4A"/>
    <w:rsid w:val="00282860"/>
    <w:rsid w:val="00284344"/>
    <w:rsid w:val="00284D5E"/>
    <w:rsid w:val="00290025"/>
    <w:rsid w:val="0029035F"/>
    <w:rsid w:val="00293B9E"/>
    <w:rsid w:val="0029560F"/>
    <w:rsid w:val="00295A3C"/>
    <w:rsid w:val="0029686F"/>
    <w:rsid w:val="00297B34"/>
    <w:rsid w:val="002A1E4D"/>
    <w:rsid w:val="002A271E"/>
    <w:rsid w:val="002B1D63"/>
    <w:rsid w:val="002B35D0"/>
    <w:rsid w:val="002B4196"/>
    <w:rsid w:val="002B61FA"/>
    <w:rsid w:val="002B6407"/>
    <w:rsid w:val="002B67FE"/>
    <w:rsid w:val="002B7F01"/>
    <w:rsid w:val="002C0A08"/>
    <w:rsid w:val="002C0A0A"/>
    <w:rsid w:val="002C10AB"/>
    <w:rsid w:val="002C1479"/>
    <w:rsid w:val="002C1D2B"/>
    <w:rsid w:val="002C208E"/>
    <w:rsid w:val="002C22D1"/>
    <w:rsid w:val="002C3587"/>
    <w:rsid w:val="002D4AA7"/>
    <w:rsid w:val="002D5ADE"/>
    <w:rsid w:val="002D5CEE"/>
    <w:rsid w:val="002D63F2"/>
    <w:rsid w:val="002E54C8"/>
    <w:rsid w:val="002E65B2"/>
    <w:rsid w:val="002F0CEB"/>
    <w:rsid w:val="002F52D8"/>
    <w:rsid w:val="002F63F5"/>
    <w:rsid w:val="0030144E"/>
    <w:rsid w:val="00302A4A"/>
    <w:rsid w:val="00302D08"/>
    <w:rsid w:val="00306F9D"/>
    <w:rsid w:val="0031304C"/>
    <w:rsid w:val="00314E5D"/>
    <w:rsid w:val="00314E6B"/>
    <w:rsid w:val="00315C30"/>
    <w:rsid w:val="00315C50"/>
    <w:rsid w:val="00315CC4"/>
    <w:rsid w:val="00316702"/>
    <w:rsid w:val="00316B86"/>
    <w:rsid w:val="0032079E"/>
    <w:rsid w:val="00320ADF"/>
    <w:rsid w:val="00321898"/>
    <w:rsid w:val="003223CC"/>
    <w:rsid w:val="0032302D"/>
    <w:rsid w:val="0032486F"/>
    <w:rsid w:val="0032508F"/>
    <w:rsid w:val="003250F8"/>
    <w:rsid w:val="00330053"/>
    <w:rsid w:val="003310C7"/>
    <w:rsid w:val="003328D0"/>
    <w:rsid w:val="00332D7A"/>
    <w:rsid w:val="0033393C"/>
    <w:rsid w:val="0033423C"/>
    <w:rsid w:val="00334AF1"/>
    <w:rsid w:val="00337CBE"/>
    <w:rsid w:val="00340B89"/>
    <w:rsid w:val="00341C10"/>
    <w:rsid w:val="00341D55"/>
    <w:rsid w:val="0034298A"/>
    <w:rsid w:val="00342FF4"/>
    <w:rsid w:val="00343FC0"/>
    <w:rsid w:val="00344685"/>
    <w:rsid w:val="003447C9"/>
    <w:rsid w:val="00345A58"/>
    <w:rsid w:val="00346A0F"/>
    <w:rsid w:val="0034718D"/>
    <w:rsid w:val="00347AD1"/>
    <w:rsid w:val="003506FE"/>
    <w:rsid w:val="00351428"/>
    <w:rsid w:val="00352F31"/>
    <w:rsid w:val="003546E5"/>
    <w:rsid w:val="003546FB"/>
    <w:rsid w:val="00356390"/>
    <w:rsid w:val="0035682D"/>
    <w:rsid w:val="00361552"/>
    <w:rsid w:val="003615C9"/>
    <w:rsid w:val="00361E11"/>
    <w:rsid w:val="00362947"/>
    <w:rsid w:val="00363326"/>
    <w:rsid w:val="0036366F"/>
    <w:rsid w:val="003672F3"/>
    <w:rsid w:val="0036743C"/>
    <w:rsid w:val="003677C1"/>
    <w:rsid w:val="00367FF5"/>
    <w:rsid w:val="00370865"/>
    <w:rsid w:val="003716B1"/>
    <w:rsid w:val="00371BDE"/>
    <w:rsid w:val="00372103"/>
    <w:rsid w:val="003730DB"/>
    <w:rsid w:val="003740A0"/>
    <w:rsid w:val="003747D5"/>
    <w:rsid w:val="00376C89"/>
    <w:rsid w:val="00376DBB"/>
    <w:rsid w:val="00377404"/>
    <w:rsid w:val="00377B50"/>
    <w:rsid w:val="00377BB2"/>
    <w:rsid w:val="00377D65"/>
    <w:rsid w:val="0038235C"/>
    <w:rsid w:val="00385B98"/>
    <w:rsid w:val="00386005"/>
    <w:rsid w:val="003867D6"/>
    <w:rsid w:val="00387DD5"/>
    <w:rsid w:val="00391EA8"/>
    <w:rsid w:val="003941D0"/>
    <w:rsid w:val="0039459A"/>
    <w:rsid w:val="00394F7E"/>
    <w:rsid w:val="00394F9F"/>
    <w:rsid w:val="00395133"/>
    <w:rsid w:val="00396A94"/>
    <w:rsid w:val="00397263"/>
    <w:rsid w:val="003A34C1"/>
    <w:rsid w:val="003A4226"/>
    <w:rsid w:val="003A5876"/>
    <w:rsid w:val="003A5958"/>
    <w:rsid w:val="003A5D60"/>
    <w:rsid w:val="003A75D0"/>
    <w:rsid w:val="003B252A"/>
    <w:rsid w:val="003B27CE"/>
    <w:rsid w:val="003B4D5A"/>
    <w:rsid w:val="003B51BD"/>
    <w:rsid w:val="003B6426"/>
    <w:rsid w:val="003B6E5A"/>
    <w:rsid w:val="003B712E"/>
    <w:rsid w:val="003B7596"/>
    <w:rsid w:val="003B7F4A"/>
    <w:rsid w:val="003C60A3"/>
    <w:rsid w:val="003C64E9"/>
    <w:rsid w:val="003D072E"/>
    <w:rsid w:val="003D091E"/>
    <w:rsid w:val="003D0D38"/>
    <w:rsid w:val="003D2FDF"/>
    <w:rsid w:val="003D443B"/>
    <w:rsid w:val="003D56F0"/>
    <w:rsid w:val="003D6726"/>
    <w:rsid w:val="003E004A"/>
    <w:rsid w:val="003E0484"/>
    <w:rsid w:val="003E0530"/>
    <w:rsid w:val="003E1B28"/>
    <w:rsid w:val="003E20E5"/>
    <w:rsid w:val="003E20FF"/>
    <w:rsid w:val="003E31D4"/>
    <w:rsid w:val="003E3242"/>
    <w:rsid w:val="003E4341"/>
    <w:rsid w:val="003E5E3D"/>
    <w:rsid w:val="003F0E35"/>
    <w:rsid w:val="003F0F04"/>
    <w:rsid w:val="003F1327"/>
    <w:rsid w:val="003F1F04"/>
    <w:rsid w:val="003F37AB"/>
    <w:rsid w:val="003F3CDE"/>
    <w:rsid w:val="003F42BF"/>
    <w:rsid w:val="003F6585"/>
    <w:rsid w:val="00400B92"/>
    <w:rsid w:val="00400FE9"/>
    <w:rsid w:val="00402549"/>
    <w:rsid w:val="0040470D"/>
    <w:rsid w:val="00405F58"/>
    <w:rsid w:val="00407F75"/>
    <w:rsid w:val="00407FDC"/>
    <w:rsid w:val="00410895"/>
    <w:rsid w:val="00410FB2"/>
    <w:rsid w:val="004118AF"/>
    <w:rsid w:val="004119D5"/>
    <w:rsid w:val="00411FD4"/>
    <w:rsid w:val="00414783"/>
    <w:rsid w:val="00415EE1"/>
    <w:rsid w:val="00420EB8"/>
    <w:rsid w:val="00422B9E"/>
    <w:rsid w:val="00424298"/>
    <w:rsid w:val="004242DC"/>
    <w:rsid w:val="00426922"/>
    <w:rsid w:val="00430478"/>
    <w:rsid w:val="00431763"/>
    <w:rsid w:val="004332A0"/>
    <w:rsid w:val="004332EE"/>
    <w:rsid w:val="00433A88"/>
    <w:rsid w:val="004365A5"/>
    <w:rsid w:val="004366D6"/>
    <w:rsid w:val="0043692D"/>
    <w:rsid w:val="00436FC5"/>
    <w:rsid w:val="004400D3"/>
    <w:rsid w:val="00444BFC"/>
    <w:rsid w:val="00444CEE"/>
    <w:rsid w:val="00446107"/>
    <w:rsid w:val="004464F5"/>
    <w:rsid w:val="004469F6"/>
    <w:rsid w:val="00450CD9"/>
    <w:rsid w:val="00451435"/>
    <w:rsid w:val="00451738"/>
    <w:rsid w:val="00452B9B"/>
    <w:rsid w:val="00453EB3"/>
    <w:rsid w:val="00456790"/>
    <w:rsid w:val="00456B40"/>
    <w:rsid w:val="0046015C"/>
    <w:rsid w:val="00460CC3"/>
    <w:rsid w:val="00461CC5"/>
    <w:rsid w:val="00461DBB"/>
    <w:rsid w:val="00461E5E"/>
    <w:rsid w:val="00462707"/>
    <w:rsid w:val="00462E11"/>
    <w:rsid w:val="00464510"/>
    <w:rsid w:val="004645E6"/>
    <w:rsid w:val="00465241"/>
    <w:rsid w:val="00465ACB"/>
    <w:rsid w:val="00465F96"/>
    <w:rsid w:val="00466E9F"/>
    <w:rsid w:val="004672FB"/>
    <w:rsid w:val="004676BC"/>
    <w:rsid w:val="0047067B"/>
    <w:rsid w:val="00470C2B"/>
    <w:rsid w:val="00470F27"/>
    <w:rsid w:val="00473376"/>
    <w:rsid w:val="0047381A"/>
    <w:rsid w:val="00473939"/>
    <w:rsid w:val="00474771"/>
    <w:rsid w:val="004748BC"/>
    <w:rsid w:val="004754C0"/>
    <w:rsid w:val="00475F49"/>
    <w:rsid w:val="004761F4"/>
    <w:rsid w:val="00476969"/>
    <w:rsid w:val="004769E3"/>
    <w:rsid w:val="00476ED1"/>
    <w:rsid w:val="00476F72"/>
    <w:rsid w:val="00481220"/>
    <w:rsid w:val="00482CD1"/>
    <w:rsid w:val="00484BF0"/>
    <w:rsid w:val="00484D0B"/>
    <w:rsid w:val="00484E1E"/>
    <w:rsid w:val="00484E93"/>
    <w:rsid w:val="00485D7B"/>
    <w:rsid w:val="00486743"/>
    <w:rsid w:val="004904E5"/>
    <w:rsid w:val="00490C95"/>
    <w:rsid w:val="004913E3"/>
    <w:rsid w:val="0049214A"/>
    <w:rsid w:val="00494256"/>
    <w:rsid w:val="004968C4"/>
    <w:rsid w:val="00496CBA"/>
    <w:rsid w:val="004A1F2F"/>
    <w:rsid w:val="004A422C"/>
    <w:rsid w:val="004A4ED4"/>
    <w:rsid w:val="004A7BF2"/>
    <w:rsid w:val="004B2953"/>
    <w:rsid w:val="004B2B6A"/>
    <w:rsid w:val="004B412A"/>
    <w:rsid w:val="004B505D"/>
    <w:rsid w:val="004B5AB5"/>
    <w:rsid w:val="004B5E43"/>
    <w:rsid w:val="004B6AAE"/>
    <w:rsid w:val="004B7EB9"/>
    <w:rsid w:val="004C0565"/>
    <w:rsid w:val="004C0CA0"/>
    <w:rsid w:val="004C0CCC"/>
    <w:rsid w:val="004C14B2"/>
    <w:rsid w:val="004C259F"/>
    <w:rsid w:val="004C2BD3"/>
    <w:rsid w:val="004C3607"/>
    <w:rsid w:val="004C3ACD"/>
    <w:rsid w:val="004C3B68"/>
    <w:rsid w:val="004C6B27"/>
    <w:rsid w:val="004C7C75"/>
    <w:rsid w:val="004D1420"/>
    <w:rsid w:val="004D1BA9"/>
    <w:rsid w:val="004D2331"/>
    <w:rsid w:val="004D29AD"/>
    <w:rsid w:val="004D2EEC"/>
    <w:rsid w:val="004D4771"/>
    <w:rsid w:val="004D520F"/>
    <w:rsid w:val="004D597F"/>
    <w:rsid w:val="004D5B3D"/>
    <w:rsid w:val="004D5DB9"/>
    <w:rsid w:val="004D60E8"/>
    <w:rsid w:val="004D68EF"/>
    <w:rsid w:val="004D7B4E"/>
    <w:rsid w:val="004E0273"/>
    <w:rsid w:val="004E030A"/>
    <w:rsid w:val="004E0AB8"/>
    <w:rsid w:val="004E0E8A"/>
    <w:rsid w:val="004E11D5"/>
    <w:rsid w:val="004E2915"/>
    <w:rsid w:val="004E464B"/>
    <w:rsid w:val="004E674F"/>
    <w:rsid w:val="004E78D8"/>
    <w:rsid w:val="004F0907"/>
    <w:rsid w:val="004F1C90"/>
    <w:rsid w:val="004F4C29"/>
    <w:rsid w:val="004F65ED"/>
    <w:rsid w:val="004F7C59"/>
    <w:rsid w:val="00500BD5"/>
    <w:rsid w:val="00502F93"/>
    <w:rsid w:val="00503DEF"/>
    <w:rsid w:val="00504382"/>
    <w:rsid w:val="00505300"/>
    <w:rsid w:val="00505B01"/>
    <w:rsid w:val="0050743A"/>
    <w:rsid w:val="005079EC"/>
    <w:rsid w:val="005100D4"/>
    <w:rsid w:val="0051106A"/>
    <w:rsid w:val="005110F2"/>
    <w:rsid w:val="0051130B"/>
    <w:rsid w:val="00512A36"/>
    <w:rsid w:val="00512E3E"/>
    <w:rsid w:val="005138F0"/>
    <w:rsid w:val="00513C5C"/>
    <w:rsid w:val="0051725B"/>
    <w:rsid w:val="00520A02"/>
    <w:rsid w:val="00521AF6"/>
    <w:rsid w:val="005229CD"/>
    <w:rsid w:val="005230D0"/>
    <w:rsid w:val="00523C6E"/>
    <w:rsid w:val="00523F4A"/>
    <w:rsid w:val="00524884"/>
    <w:rsid w:val="00524C3D"/>
    <w:rsid w:val="00525836"/>
    <w:rsid w:val="005260F8"/>
    <w:rsid w:val="005262C8"/>
    <w:rsid w:val="00526F7A"/>
    <w:rsid w:val="00530563"/>
    <w:rsid w:val="005305C2"/>
    <w:rsid w:val="00530F0D"/>
    <w:rsid w:val="0053134A"/>
    <w:rsid w:val="005314A6"/>
    <w:rsid w:val="00531E3F"/>
    <w:rsid w:val="00533DB8"/>
    <w:rsid w:val="005357ED"/>
    <w:rsid w:val="0053636C"/>
    <w:rsid w:val="00537B5D"/>
    <w:rsid w:val="00537DE7"/>
    <w:rsid w:val="0054158B"/>
    <w:rsid w:val="0054235D"/>
    <w:rsid w:val="0054347C"/>
    <w:rsid w:val="005438D2"/>
    <w:rsid w:val="0054595D"/>
    <w:rsid w:val="0054744A"/>
    <w:rsid w:val="0054791A"/>
    <w:rsid w:val="00547A25"/>
    <w:rsid w:val="005504A2"/>
    <w:rsid w:val="00550D10"/>
    <w:rsid w:val="00550D60"/>
    <w:rsid w:val="00551178"/>
    <w:rsid w:val="0055234E"/>
    <w:rsid w:val="005534EF"/>
    <w:rsid w:val="0055408B"/>
    <w:rsid w:val="005541AD"/>
    <w:rsid w:val="00554737"/>
    <w:rsid w:val="00556A01"/>
    <w:rsid w:val="005570FE"/>
    <w:rsid w:val="0055723F"/>
    <w:rsid w:val="00561550"/>
    <w:rsid w:val="00561E14"/>
    <w:rsid w:val="005633C4"/>
    <w:rsid w:val="00564925"/>
    <w:rsid w:val="00565D6A"/>
    <w:rsid w:val="00567144"/>
    <w:rsid w:val="00567B54"/>
    <w:rsid w:val="00567D53"/>
    <w:rsid w:val="0057055F"/>
    <w:rsid w:val="00570F65"/>
    <w:rsid w:val="0057163B"/>
    <w:rsid w:val="00571972"/>
    <w:rsid w:val="00571A59"/>
    <w:rsid w:val="00572837"/>
    <w:rsid w:val="00574509"/>
    <w:rsid w:val="00575553"/>
    <w:rsid w:val="005765CD"/>
    <w:rsid w:val="00576F30"/>
    <w:rsid w:val="00577C6C"/>
    <w:rsid w:val="00577E2E"/>
    <w:rsid w:val="00582745"/>
    <w:rsid w:val="00582A78"/>
    <w:rsid w:val="0058309A"/>
    <w:rsid w:val="00583303"/>
    <w:rsid w:val="005851FE"/>
    <w:rsid w:val="00585D34"/>
    <w:rsid w:val="00586F04"/>
    <w:rsid w:val="005872C4"/>
    <w:rsid w:val="00587E4B"/>
    <w:rsid w:val="00587E87"/>
    <w:rsid w:val="00591853"/>
    <w:rsid w:val="00592B1F"/>
    <w:rsid w:val="005956A5"/>
    <w:rsid w:val="005976D4"/>
    <w:rsid w:val="005A0F88"/>
    <w:rsid w:val="005A3979"/>
    <w:rsid w:val="005A3DA3"/>
    <w:rsid w:val="005A3E6E"/>
    <w:rsid w:val="005A535E"/>
    <w:rsid w:val="005A57CE"/>
    <w:rsid w:val="005A73BC"/>
    <w:rsid w:val="005B02D4"/>
    <w:rsid w:val="005B0970"/>
    <w:rsid w:val="005B2221"/>
    <w:rsid w:val="005B2A7A"/>
    <w:rsid w:val="005B2E92"/>
    <w:rsid w:val="005B3EE1"/>
    <w:rsid w:val="005B58C2"/>
    <w:rsid w:val="005B59A4"/>
    <w:rsid w:val="005B5E23"/>
    <w:rsid w:val="005B7066"/>
    <w:rsid w:val="005B7182"/>
    <w:rsid w:val="005C3138"/>
    <w:rsid w:val="005C43B3"/>
    <w:rsid w:val="005C4B75"/>
    <w:rsid w:val="005C4FE5"/>
    <w:rsid w:val="005C5279"/>
    <w:rsid w:val="005C5586"/>
    <w:rsid w:val="005C6944"/>
    <w:rsid w:val="005C6BEE"/>
    <w:rsid w:val="005C7C54"/>
    <w:rsid w:val="005D0313"/>
    <w:rsid w:val="005D0B33"/>
    <w:rsid w:val="005D199D"/>
    <w:rsid w:val="005D208B"/>
    <w:rsid w:val="005D21CE"/>
    <w:rsid w:val="005D27C5"/>
    <w:rsid w:val="005D2C8C"/>
    <w:rsid w:val="005D31D9"/>
    <w:rsid w:val="005D3CA9"/>
    <w:rsid w:val="005D3F3F"/>
    <w:rsid w:val="005D55C1"/>
    <w:rsid w:val="005D6297"/>
    <w:rsid w:val="005D636D"/>
    <w:rsid w:val="005D730B"/>
    <w:rsid w:val="005E004E"/>
    <w:rsid w:val="005E0101"/>
    <w:rsid w:val="005E0EF4"/>
    <w:rsid w:val="005E1D50"/>
    <w:rsid w:val="005E2521"/>
    <w:rsid w:val="005E6B40"/>
    <w:rsid w:val="005E751C"/>
    <w:rsid w:val="005F1B65"/>
    <w:rsid w:val="005F2FBC"/>
    <w:rsid w:val="005F371D"/>
    <w:rsid w:val="005F46CB"/>
    <w:rsid w:val="005F4F08"/>
    <w:rsid w:val="006026F4"/>
    <w:rsid w:val="00603FEB"/>
    <w:rsid w:val="006040B6"/>
    <w:rsid w:val="0060472D"/>
    <w:rsid w:val="00604C5A"/>
    <w:rsid w:val="00604E10"/>
    <w:rsid w:val="00605CEC"/>
    <w:rsid w:val="006066CC"/>
    <w:rsid w:val="00606882"/>
    <w:rsid w:val="006103D4"/>
    <w:rsid w:val="00611D67"/>
    <w:rsid w:val="0061273D"/>
    <w:rsid w:val="00612957"/>
    <w:rsid w:val="0061337B"/>
    <w:rsid w:val="006139F2"/>
    <w:rsid w:val="00614AF0"/>
    <w:rsid w:val="0061735C"/>
    <w:rsid w:val="0061736F"/>
    <w:rsid w:val="0062012C"/>
    <w:rsid w:val="00620ADC"/>
    <w:rsid w:val="006212B3"/>
    <w:rsid w:val="00621B45"/>
    <w:rsid w:val="00623225"/>
    <w:rsid w:val="00623908"/>
    <w:rsid w:val="00624170"/>
    <w:rsid w:val="006258D9"/>
    <w:rsid w:val="00630227"/>
    <w:rsid w:val="00630A89"/>
    <w:rsid w:val="00630DDA"/>
    <w:rsid w:val="00631850"/>
    <w:rsid w:val="00631895"/>
    <w:rsid w:val="00632045"/>
    <w:rsid w:val="00632AA4"/>
    <w:rsid w:val="00632B58"/>
    <w:rsid w:val="0063711C"/>
    <w:rsid w:val="00637878"/>
    <w:rsid w:val="00637B51"/>
    <w:rsid w:val="00637D79"/>
    <w:rsid w:val="00637E84"/>
    <w:rsid w:val="006402DD"/>
    <w:rsid w:val="0064139C"/>
    <w:rsid w:val="006422D7"/>
    <w:rsid w:val="0064293E"/>
    <w:rsid w:val="006438DF"/>
    <w:rsid w:val="00643D3B"/>
    <w:rsid w:val="0064437C"/>
    <w:rsid w:val="0065147C"/>
    <w:rsid w:val="00652E1D"/>
    <w:rsid w:val="0065353F"/>
    <w:rsid w:val="00654DAB"/>
    <w:rsid w:val="0065700D"/>
    <w:rsid w:val="00657BE3"/>
    <w:rsid w:val="006615C9"/>
    <w:rsid w:val="0066273A"/>
    <w:rsid w:val="006664CB"/>
    <w:rsid w:val="00666C74"/>
    <w:rsid w:val="0066706F"/>
    <w:rsid w:val="006679EE"/>
    <w:rsid w:val="0067224A"/>
    <w:rsid w:val="00673028"/>
    <w:rsid w:val="00676714"/>
    <w:rsid w:val="006768E9"/>
    <w:rsid w:val="006770E3"/>
    <w:rsid w:val="0067785C"/>
    <w:rsid w:val="00677DEA"/>
    <w:rsid w:val="006806E3"/>
    <w:rsid w:val="0068099A"/>
    <w:rsid w:val="00680DB6"/>
    <w:rsid w:val="00681320"/>
    <w:rsid w:val="00682DA0"/>
    <w:rsid w:val="0068437A"/>
    <w:rsid w:val="00684AFD"/>
    <w:rsid w:val="00684FFA"/>
    <w:rsid w:val="00686641"/>
    <w:rsid w:val="006877EB"/>
    <w:rsid w:val="006904E7"/>
    <w:rsid w:val="006918BC"/>
    <w:rsid w:val="0069236D"/>
    <w:rsid w:val="0069471E"/>
    <w:rsid w:val="00695807"/>
    <w:rsid w:val="00695DD1"/>
    <w:rsid w:val="00696AEF"/>
    <w:rsid w:val="006976E0"/>
    <w:rsid w:val="006A0A70"/>
    <w:rsid w:val="006A0CD1"/>
    <w:rsid w:val="006A37C8"/>
    <w:rsid w:val="006A6A49"/>
    <w:rsid w:val="006A7D28"/>
    <w:rsid w:val="006B022C"/>
    <w:rsid w:val="006B2AA0"/>
    <w:rsid w:val="006B2B80"/>
    <w:rsid w:val="006C0889"/>
    <w:rsid w:val="006C2DFE"/>
    <w:rsid w:val="006C2EBE"/>
    <w:rsid w:val="006C394C"/>
    <w:rsid w:val="006C3BCB"/>
    <w:rsid w:val="006C4CC9"/>
    <w:rsid w:val="006C5530"/>
    <w:rsid w:val="006C5781"/>
    <w:rsid w:val="006C6ECB"/>
    <w:rsid w:val="006C71CD"/>
    <w:rsid w:val="006D090B"/>
    <w:rsid w:val="006D13CC"/>
    <w:rsid w:val="006D16D8"/>
    <w:rsid w:val="006D2B90"/>
    <w:rsid w:val="006D6241"/>
    <w:rsid w:val="006D769A"/>
    <w:rsid w:val="006D7EEE"/>
    <w:rsid w:val="006E11D7"/>
    <w:rsid w:val="006E1B2C"/>
    <w:rsid w:val="006E1C13"/>
    <w:rsid w:val="006E1F50"/>
    <w:rsid w:val="006E2272"/>
    <w:rsid w:val="006E2988"/>
    <w:rsid w:val="006E7150"/>
    <w:rsid w:val="006E7DCE"/>
    <w:rsid w:val="006F07F6"/>
    <w:rsid w:val="006F13D0"/>
    <w:rsid w:val="006F19FE"/>
    <w:rsid w:val="006F1AA1"/>
    <w:rsid w:val="006F217D"/>
    <w:rsid w:val="00700CF3"/>
    <w:rsid w:val="00701391"/>
    <w:rsid w:val="00701F87"/>
    <w:rsid w:val="0070333A"/>
    <w:rsid w:val="0070357C"/>
    <w:rsid w:val="0070699B"/>
    <w:rsid w:val="00711011"/>
    <w:rsid w:val="007111A5"/>
    <w:rsid w:val="00713107"/>
    <w:rsid w:val="00713A6A"/>
    <w:rsid w:val="00715F21"/>
    <w:rsid w:val="00716836"/>
    <w:rsid w:val="00717C09"/>
    <w:rsid w:val="0072003F"/>
    <w:rsid w:val="007209A3"/>
    <w:rsid w:val="00722232"/>
    <w:rsid w:val="00723109"/>
    <w:rsid w:val="00723795"/>
    <w:rsid w:val="0072411C"/>
    <w:rsid w:val="00727525"/>
    <w:rsid w:val="007275F7"/>
    <w:rsid w:val="00727C0B"/>
    <w:rsid w:val="00727FD6"/>
    <w:rsid w:val="007307D8"/>
    <w:rsid w:val="00730AC2"/>
    <w:rsid w:val="007319B1"/>
    <w:rsid w:val="00732079"/>
    <w:rsid w:val="00732756"/>
    <w:rsid w:val="00734A64"/>
    <w:rsid w:val="00736A46"/>
    <w:rsid w:val="00736ECA"/>
    <w:rsid w:val="00737EE7"/>
    <w:rsid w:val="00740746"/>
    <w:rsid w:val="0074489D"/>
    <w:rsid w:val="00745EC1"/>
    <w:rsid w:val="007467CE"/>
    <w:rsid w:val="007471CC"/>
    <w:rsid w:val="00747878"/>
    <w:rsid w:val="0075115E"/>
    <w:rsid w:val="00752894"/>
    <w:rsid w:val="007548E4"/>
    <w:rsid w:val="00755144"/>
    <w:rsid w:val="007573CB"/>
    <w:rsid w:val="00761016"/>
    <w:rsid w:val="00761908"/>
    <w:rsid w:val="00762AC0"/>
    <w:rsid w:val="00763A07"/>
    <w:rsid w:val="007642F6"/>
    <w:rsid w:val="007657AD"/>
    <w:rsid w:val="00766806"/>
    <w:rsid w:val="00767BB7"/>
    <w:rsid w:val="00771450"/>
    <w:rsid w:val="00772106"/>
    <w:rsid w:val="00772E4B"/>
    <w:rsid w:val="007730FF"/>
    <w:rsid w:val="0077327A"/>
    <w:rsid w:val="007737EF"/>
    <w:rsid w:val="0077410F"/>
    <w:rsid w:val="007748EB"/>
    <w:rsid w:val="00777615"/>
    <w:rsid w:val="00781BDE"/>
    <w:rsid w:val="007822AB"/>
    <w:rsid w:val="007839B9"/>
    <w:rsid w:val="00790062"/>
    <w:rsid w:val="007919BB"/>
    <w:rsid w:val="00793E54"/>
    <w:rsid w:val="00794199"/>
    <w:rsid w:val="0079442F"/>
    <w:rsid w:val="00795A96"/>
    <w:rsid w:val="0079625C"/>
    <w:rsid w:val="00796858"/>
    <w:rsid w:val="00796E19"/>
    <w:rsid w:val="00796E3A"/>
    <w:rsid w:val="00797287"/>
    <w:rsid w:val="00797F05"/>
    <w:rsid w:val="007A0831"/>
    <w:rsid w:val="007A0D5E"/>
    <w:rsid w:val="007A5768"/>
    <w:rsid w:val="007A6256"/>
    <w:rsid w:val="007A7DF8"/>
    <w:rsid w:val="007B08AA"/>
    <w:rsid w:val="007B14E6"/>
    <w:rsid w:val="007B2611"/>
    <w:rsid w:val="007B2C93"/>
    <w:rsid w:val="007B2CD7"/>
    <w:rsid w:val="007B68ED"/>
    <w:rsid w:val="007B78E8"/>
    <w:rsid w:val="007C19FF"/>
    <w:rsid w:val="007C5AC5"/>
    <w:rsid w:val="007C74F4"/>
    <w:rsid w:val="007C7D24"/>
    <w:rsid w:val="007D2EDE"/>
    <w:rsid w:val="007D5177"/>
    <w:rsid w:val="007D5C4F"/>
    <w:rsid w:val="007D68D2"/>
    <w:rsid w:val="007D71A1"/>
    <w:rsid w:val="007E1310"/>
    <w:rsid w:val="007E3862"/>
    <w:rsid w:val="007E398C"/>
    <w:rsid w:val="007E522E"/>
    <w:rsid w:val="007E53A3"/>
    <w:rsid w:val="007E559E"/>
    <w:rsid w:val="007E6890"/>
    <w:rsid w:val="007E6CE6"/>
    <w:rsid w:val="007E7E40"/>
    <w:rsid w:val="007F0541"/>
    <w:rsid w:val="007F650D"/>
    <w:rsid w:val="007F70CF"/>
    <w:rsid w:val="007F73F0"/>
    <w:rsid w:val="008010A6"/>
    <w:rsid w:val="00802419"/>
    <w:rsid w:val="008042BF"/>
    <w:rsid w:val="00805C67"/>
    <w:rsid w:val="008060FB"/>
    <w:rsid w:val="00806A82"/>
    <w:rsid w:val="0080735F"/>
    <w:rsid w:val="00807820"/>
    <w:rsid w:val="00807A1B"/>
    <w:rsid w:val="00807E49"/>
    <w:rsid w:val="00810C85"/>
    <w:rsid w:val="00810E88"/>
    <w:rsid w:val="00811CD4"/>
    <w:rsid w:val="00812BD1"/>
    <w:rsid w:val="008137DB"/>
    <w:rsid w:val="0081428C"/>
    <w:rsid w:val="00814AD0"/>
    <w:rsid w:val="00815948"/>
    <w:rsid w:val="00815A6B"/>
    <w:rsid w:val="00816539"/>
    <w:rsid w:val="008210AA"/>
    <w:rsid w:val="008210B9"/>
    <w:rsid w:val="00821113"/>
    <w:rsid w:val="008211DD"/>
    <w:rsid w:val="0082268A"/>
    <w:rsid w:val="00822A45"/>
    <w:rsid w:val="00826440"/>
    <w:rsid w:val="008266EB"/>
    <w:rsid w:val="008277BF"/>
    <w:rsid w:val="00830500"/>
    <w:rsid w:val="008319DA"/>
    <w:rsid w:val="00831F9D"/>
    <w:rsid w:val="008322C9"/>
    <w:rsid w:val="00832873"/>
    <w:rsid w:val="0083388E"/>
    <w:rsid w:val="008343BA"/>
    <w:rsid w:val="00834709"/>
    <w:rsid w:val="0084067C"/>
    <w:rsid w:val="008411D3"/>
    <w:rsid w:val="00842980"/>
    <w:rsid w:val="00844F3B"/>
    <w:rsid w:val="00845074"/>
    <w:rsid w:val="00846CB8"/>
    <w:rsid w:val="00850657"/>
    <w:rsid w:val="00850B28"/>
    <w:rsid w:val="00850EE1"/>
    <w:rsid w:val="00851FB3"/>
    <w:rsid w:val="0085270A"/>
    <w:rsid w:val="008533E8"/>
    <w:rsid w:val="00854413"/>
    <w:rsid w:val="008550C4"/>
    <w:rsid w:val="0085529B"/>
    <w:rsid w:val="008552EB"/>
    <w:rsid w:val="00855F8B"/>
    <w:rsid w:val="008562B3"/>
    <w:rsid w:val="008576ED"/>
    <w:rsid w:val="008600E3"/>
    <w:rsid w:val="00861CCF"/>
    <w:rsid w:val="00864A57"/>
    <w:rsid w:val="008663EA"/>
    <w:rsid w:val="0087583B"/>
    <w:rsid w:val="00876FAA"/>
    <w:rsid w:val="0087719B"/>
    <w:rsid w:val="00877A9C"/>
    <w:rsid w:val="00880AA2"/>
    <w:rsid w:val="00881591"/>
    <w:rsid w:val="00881593"/>
    <w:rsid w:val="00881BB4"/>
    <w:rsid w:val="008829FB"/>
    <w:rsid w:val="00882B75"/>
    <w:rsid w:val="0088389E"/>
    <w:rsid w:val="0088406C"/>
    <w:rsid w:val="00884AC8"/>
    <w:rsid w:val="00885212"/>
    <w:rsid w:val="0088526B"/>
    <w:rsid w:val="0088533F"/>
    <w:rsid w:val="00885575"/>
    <w:rsid w:val="00886FD5"/>
    <w:rsid w:val="0089035E"/>
    <w:rsid w:val="00890ED0"/>
    <w:rsid w:val="00891324"/>
    <w:rsid w:val="008916FB"/>
    <w:rsid w:val="00891A0F"/>
    <w:rsid w:val="00896F3B"/>
    <w:rsid w:val="0089751E"/>
    <w:rsid w:val="00897896"/>
    <w:rsid w:val="008A1619"/>
    <w:rsid w:val="008A3CFC"/>
    <w:rsid w:val="008A49EE"/>
    <w:rsid w:val="008A57DD"/>
    <w:rsid w:val="008A5B11"/>
    <w:rsid w:val="008A695D"/>
    <w:rsid w:val="008A6FD7"/>
    <w:rsid w:val="008A75FE"/>
    <w:rsid w:val="008A7685"/>
    <w:rsid w:val="008B0D45"/>
    <w:rsid w:val="008B2AED"/>
    <w:rsid w:val="008B2E44"/>
    <w:rsid w:val="008B2EA3"/>
    <w:rsid w:val="008B32CF"/>
    <w:rsid w:val="008B794F"/>
    <w:rsid w:val="008C02D5"/>
    <w:rsid w:val="008C134A"/>
    <w:rsid w:val="008C1A11"/>
    <w:rsid w:val="008C1BA2"/>
    <w:rsid w:val="008C22B7"/>
    <w:rsid w:val="008C30CF"/>
    <w:rsid w:val="008C316F"/>
    <w:rsid w:val="008C3D09"/>
    <w:rsid w:val="008C70A0"/>
    <w:rsid w:val="008C7255"/>
    <w:rsid w:val="008D059A"/>
    <w:rsid w:val="008D0720"/>
    <w:rsid w:val="008D55FE"/>
    <w:rsid w:val="008D588B"/>
    <w:rsid w:val="008D7428"/>
    <w:rsid w:val="008E07A3"/>
    <w:rsid w:val="008E166C"/>
    <w:rsid w:val="008E31DD"/>
    <w:rsid w:val="008E37E0"/>
    <w:rsid w:val="008E4EFF"/>
    <w:rsid w:val="008E5D0A"/>
    <w:rsid w:val="008E5E44"/>
    <w:rsid w:val="008E601D"/>
    <w:rsid w:val="008E73A0"/>
    <w:rsid w:val="008F068B"/>
    <w:rsid w:val="008F3B11"/>
    <w:rsid w:val="008F593B"/>
    <w:rsid w:val="008F7234"/>
    <w:rsid w:val="008F7474"/>
    <w:rsid w:val="009002D7"/>
    <w:rsid w:val="00902C14"/>
    <w:rsid w:val="00903586"/>
    <w:rsid w:val="00904706"/>
    <w:rsid w:val="00905634"/>
    <w:rsid w:val="009063B3"/>
    <w:rsid w:val="009121A9"/>
    <w:rsid w:val="00915183"/>
    <w:rsid w:val="00915A15"/>
    <w:rsid w:val="00916DB3"/>
    <w:rsid w:val="0091776F"/>
    <w:rsid w:val="00920630"/>
    <w:rsid w:val="009212D5"/>
    <w:rsid w:val="009213FE"/>
    <w:rsid w:val="0092269F"/>
    <w:rsid w:val="0092380B"/>
    <w:rsid w:val="009242AA"/>
    <w:rsid w:val="009244CF"/>
    <w:rsid w:val="00927309"/>
    <w:rsid w:val="00927B3F"/>
    <w:rsid w:val="00930005"/>
    <w:rsid w:val="0093080C"/>
    <w:rsid w:val="00931CDB"/>
    <w:rsid w:val="00931FBF"/>
    <w:rsid w:val="00933260"/>
    <w:rsid w:val="00934213"/>
    <w:rsid w:val="0093782A"/>
    <w:rsid w:val="0094029A"/>
    <w:rsid w:val="009403D7"/>
    <w:rsid w:val="009411D3"/>
    <w:rsid w:val="0094328B"/>
    <w:rsid w:val="00943CE0"/>
    <w:rsid w:val="0094644F"/>
    <w:rsid w:val="0094713E"/>
    <w:rsid w:val="00947404"/>
    <w:rsid w:val="00951CD6"/>
    <w:rsid w:val="0095325A"/>
    <w:rsid w:val="00955C10"/>
    <w:rsid w:val="00957B86"/>
    <w:rsid w:val="0096048E"/>
    <w:rsid w:val="00960CC5"/>
    <w:rsid w:val="00960FC1"/>
    <w:rsid w:val="00962B50"/>
    <w:rsid w:val="009640B4"/>
    <w:rsid w:val="00964B54"/>
    <w:rsid w:val="00964D8F"/>
    <w:rsid w:val="00970075"/>
    <w:rsid w:val="009723D4"/>
    <w:rsid w:val="00972A5E"/>
    <w:rsid w:val="0097385F"/>
    <w:rsid w:val="00974167"/>
    <w:rsid w:val="00974E11"/>
    <w:rsid w:val="00976516"/>
    <w:rsid w:val="00976ADE"/>
    <w:rsid w:val="0097719C"/>
    <w:rsid w:val="0098158D"/>
    <w:rsid w:val="00981931"/>
    <w:rsid w:val="00982211"/>
    <w:rsid w:val="0098275B"/>
    <w:rsid w:val="00983335"/>
    <w:rsid w:val="00984366"/>
    <w:rsid w:val="009852D5"/>
    <w:rsid w:val="00985CE1"/>
    <w:rsid w:val="00986787"/>
    <w:rsid w:val="00987E82"/>
    <w:rsid w:val="00990BDA"/>
    <w:rsid w:val="00990D61"/>
    <w:rsid w:val="00991BA8"/>
    <w:rsid w:val="00991F0E"/>
    <w:rsid w:val="00992F39"/>
    <w:rsid w:val="00993189"/>
    <w:rsid w:val="00993E3F"/>
    <w:rsid w:val="00995B8D"/>
    <w:rsid w:val="00996919"/>
    <w:rsid w:val="00997965"/>
    <w:rsid w:val="00997A75"/>
    <w:rsid w:val="009A094B"/>
    <w:rsid w:val="009A1F20"/>
    <w:rsid w:val="009A3330"/>
    <w:rsid w:val="009A49A5"/>
    <w:rsid w:val="009A7BB6"/>
    <w:rsid w:val="009B0190"/>
    <w:rsid w:val="009B0271"/>
    <w:rsid w:val="009B0999"/>
    <w:rsid w:val="009B118F"/>
    <w:rsid w:val="009B3971"/>
    <w:rsid w:val="009B5F2D"/>
    <w:rsid w:val="009B6A5E"/>
    <w:rsid w:val="009B6A94"/>
    <w:rsid w:val="009B6DEF"/>
    <w:rsid w:val="009C01F0"/>
    <w:rsid w:val="009C10CD"/>
    <w:rsid w:val="009C149C"/>
    <w:rsid w:val="009C14DD"/>
    <w:rsid w:val="009C1541"/>
    <w:rsid w:val="009C1877"/>
    <w:rsid w:val="009C2190"/>
    <w:rsid w:val="009C3BEE"/>
    <w:rsid w:val="009C3E5B"/>
    <w:rsid w:val="009C40C6"/>
    <w:rsid w:val="009C4524"/>
    <w:rsid w:val="009C5375"/>
    <w:rsid w:val="009C621C"/>
    <w:rsid w:val="009C6BA5"/>
    <w:rsid w:val="009C6CD0"/>
    <w:rsid w:val="009D071D"/>
    <w:rsid w:val="009D10BB"/>
    <w:rsid w:val="009D45FF"/>
    <w:rsid w:val="009D461C"/>
    <w:rsid w:val="009D5082"/>
    <w:rsid w:val="009D6E7A"/>
    <w:rsid w:val="009D6F7A"/>
    <w:rsid w:val="009D7695"/>
    <w:rsid w:val="009E0478"/>
    <w:rsid w:val="009E087E"/>
    <w:rsid w:val="009E0E62"/>
    <w:rsid w:val="009E1CCC"/>
    <w:rsid w:val="009E33DC"/>
    <w:rsid w:val="009E48BD"/>
    <w:rsid w:val="009E7C5E"/>
    <w:rsid w:val="009F0D34"/>
    <w:rsid w:val="009F251F"/>
    <w:rsid w:val="009F4166"/>
    <w:rsid w:val="009F51C8"/>
    <w:rsid w:val="009F5603"/>
    <w:rsid w:val="009F6277"/>
    <w:rsid w:val="009F7666"/>
    <w:rsid w:val="009F7827"/>
    <w:rsid w:val="00A01BCE"/>
    <w:rsid w:val="00A01D3E"/>
    <w:rsid w:val="00A02E49"/>
    <w:rsid w:val="00A030BD"/>
    <w:rsid w:val="00A032C3"/>
    <w:rsid w:val="00A03361"/>
    <w:rsid w:val="00A03789"/>
    <w:rsid w:val="00A03D70"/>
    <w:rsid w:val="00A03F06"/>
    <w:rsid w:val="00A06115"/>
    <w:rsid w:val="00A062FE"/>
    <w:rsid w:val="00A105A2"/>
    <w:rsid w:val="00A1088D"/>
    <w:rsid w:val="00A11C02"/>
    <w:rsid w:val="00A129ED"/>
    <w:rsid w:val="00A131A9"/>
    <w:rsid w:val="00A13416"/>
    <w:rsid w:val="00A1343F"/>
    <w:rsid w:val="00A13964"/>
    <w:rsid w:val="00A14C71"/>
    <w:rsid w:val="00A15012"/>
    <w:rsid w:val="00A1515A"/>
    <w:rsid w:val="00A2025E"/>
    <w:rsid w:val="00A236F8"/>
    <w:rsid w:val="00A2458D"/>
    <w:rsid w:val="00A250CD"/>
    <w:rsid w:val="00A27B6B"/>
    <w:rsid w:val="00A3292C"/>
    <w:rsid w:val="00A33C44"/>
    <w:rsid w:val="00A35146"/>
    <w:rsid w:val="00A36DC9"/>
    <w:rsid w:val="00A4024E"/>
    <w:rsid w:val="00A40B76"/>
    <w:rsid w:val="00A43BFA"/>
    <w:rsid w:val="00A44F6A"/>
    <w:rsid w:val="00A45D3A"/>
    <w:rsid w:val="00A470E2"/>
    <w:rsid w:val="00A5054F"/>
    <w:rsid w:val="00A5102D"/>
    <w:rsid w:val="00A51541"/>
    <w:rsid w:val="00A516F5"/>
    <w:rsid w:val="00A52360"/>
    <w:rsid w:val="00A52D47"/>
    <w:rsid w:val="00A54FC7"/>
    <w:rsid w:val="00A55B77"/>
    <w:rsid w:val="00A574BE"/>
    <w:rsid w:val="00A57BBE"/>
    <w:rsid w:val="00A57EAF"/>
    <w:rsid w:val="00A6188B"/>
    <w:rsid w:val="00A64243"/>
    <w:rsid w:val="00A66ABE"/>
    <w:rsid w:val="00A70C66"/>
    <w:rsid w:val="00A71B93"/>
    <w:rsid w:val="00A71CD2"/>
    <w:rsid w:val="00A71ED2"/>
    <w:rsid w:val="00A7252C"/>
    <w:rsid w:val="00A72DB1"/>
    <w:rsid w:val="00A73874"/>
    <w:rsid w:val="00A7666C"/>
    <w:rsid w:val="00A82AE1"/>
    <w:rsid w:val="00A83B3F"/>
    <w:rsid w:val="00A84424"/>
    <w:rsid w:val="00A8590B"/>
    <w:rsid w:val="00A86D85"/>
    <w:rsid w:val="00A91292"/>
    <w:rsid w:val="00A9136B"/>
    <w:rsid w:val="00A91B13"/>
    <w:rsid w:val="00A9264E"/>
    <w:rsid w:val="00A9358E"/>
    <w:rsid w:val="00A939CF"/>
    <w:rsid w:val="00A9402B"/>
    <w:rsid w:val="00A94516"/>
    <w:rsid w:val="00A94AF2"/>
    <w:rsid w:val="00A94FD3"/>
    <w:rsid w:val="00A9565E"/>
    <w:rsid w:val="00A9635D"/>
    <w:rsid w:val="00A96465"/>
    <w:rsid w:val="00AA07E7"/>
    <w:rsid w:val="00AA0FB0"/>
    <w:rsid w:val="00AA1424"/>
    <w:rsid w:val="00AA34D3"/>
    <w:rsid w:val="00AA3ABA"/>
    <w:rsid w:val="00AA4E22"/>
    <w:rsid w:val="00AA582B"/>
    <w:rsid w:val="00AA5D17"/>
    <w:rsid w:val="00AA6451"/>
    <w:rsid w:val="00AB0CAD"/>
    <w:rsid w:val="00AB1D9B"/>
    <w:rsid w:val="00AB22D1"/>
    <w:rsid w:val="00AB27BB"/>
    <w:rsid w:val="00AB340D"/>
    <w:rsid w:val="00AB3AD5"/>
    <w:rsid w:val="00AB41C2"/>
    <w:rsid w:val="00AB44F2"/>
    <w:rsid w:val="00AB48C2"/>
    <w:rsid w:val="00AB54D2"/>
    <w:rsid w:val="00AB5D79"/>
    <w:rsid w:val="00AB7BE9"/>
    <w:rsid w:val="00AC0553"/>
    <w:rsid w:val="00AC0A79"/>
    <w:rsid w:val="00AC19F4"/>
    <w:rsid w:val="00AC1B6D"/>
    <w:rsid w:val="00AC28B6"/>
    <w:rsid w:val="00AC65F2"/>
    <w:rsid w:val="00AC73C8"/>
    <w:rsid w:val="00AD13C0"/>
    <w:rsid w:val="00AD1BB4"/>
    <w:rsid w:val="00AD33D5"/>
    <w:rsid w:val="00AD3B1C"/>
    <w:rsid w:val="00AD5C84"/>
    <w:rsid w:val="00AD7C4D"/>
    <w:rsid w:val="00AD7F08"/>
    <w:rsid w:val="00AE3AE6"/>
    <w:rsid w:val="00AE3D5A"/>
    <w:rsid w:val="00AE40DD"/>
    <w:rsid w:val="00AE51D3"/>
    <w:rsid w:val="00AE56CE"/>
    <w:rsid w:val="00AE72D8"/>
    <w:rsid w:val="00AE7970"/>
    <w:rsid w:val="00AF1504"/>
    <w:rsid w:val="00AF1869"/>
    <w:rsid w:val="00AF1D26"/>
    <w:rsid w:val="00AF2701"/>
    <w:rsid w:val="00AF3109"/>
    <w:rsid w:val="00AF5DA6"/>
    <w:rsid w:val="00AF61EF"/>
    <w:rsid w:val="00AF6A88"/>
    <w:rsid w:val="00B014AA"/>
    <w:rsid w:val="00B01DCD"/>
    <w:rsid w:val="00B023F3"/>
    <w:rsid w:val="00B026DE"/>
    <w:rsid w:val="00B03B34"/>
    <w:rsid w:val="00B05912"/>
    <w:rsid w:val="00B059DD"/>
    <w:rsid w:val="00B075C3"/>
    <w:rsid w:val="00B079FB"/>
    <w:rsid w:val="00B10088"/>
    <w:rsid w:val="00B11332"/>
    <w:rsid w:val="00B1243F"/>
    <w:rsid w:val="00B12F45"/>
    <w:rsid w:val="00B13F9A"/>
    <w:rsid w:val="00B1483D"/>
    <w:rsid w:val="00B1575D"/>
    <w:rsid w:val="00B17539"/>
    <w:rsid w:val="00B20309"/>
    <w:rsid w:val="00B20A91"/>
    <w:rsid w:val="00B20F98"/>
    <w:rsid w:val="00B2286D"/>
    <w:rsid w:val="00B22F01"/>
    <w:rsid w:val="00B23F0A"/>
    <w:rsid w:val="00B24E22"/>
    <w:rsid w:val="00B24FDB"/>
    <w:rsid w:val="00B2626A"/>
    <w:rsid w:val="00B3104E"/>
    <w:rsid w:val="00B314DA"/>
    <w:rsid w:val="00B31B19"/>
    <w:rsid w:val="00B344A2"/>
    <w:rsid w:val="00B34CDC"/>
    <w:rsid w:val="00B353FB"/>
    <w:rsid w:val="00B35988"/>
    <w:rsid w:val="00B37FD5"/>
    <w:rsid w:val="00B44639"/>
    <w:rsid w:val="00B462F4"/>
    <w:rsid w:val="00B46DDF"/>
    <w:rsid w:val="00B47C5A"/>
    <w:rsid w:val="00B5187C"/>
    <w:rsid w:val="00B54B37"/>
    <w:rsid w:val="00B56817"/>
    <w:rsid w:val="00B5751A"/>
    <w:rsid w:val="00B6129B"/>
    <w:rsid w:val="00B619DE"/>
    <w:rsid w:val="00B61D8B"/>
    <w:rsid w:val="00B62BAD"/>
    <w:rsid w:val="00B63878"/>
    <w:rsid w:val="00B638B4"/>
    <w:rsid w:val="00B64899"/>
    <w:rsid w:val="00B70BB4"/>
    <w:rsid w:val="00B71733"/>
    <w:rsid w:val="00B72E3F"/>
    <w:rsid w:val="00B75F29"/>
    <w:rsid w:val="00B8033B"/>
    <w:rsid w:val="00B81C9A"/>
    <w:rsid w:val="00B8233C"/>
    <w:rsid w:val="00B82907"/>
    <w:rsid w:val="00B84000"/>
    <w:rsid w:val="00B84899"/>
    <w:rsid w:val="00B85169"/>
    <w:rsid w:val="00B856BB"/>
    <w:rsid w:val="00B8665B"/>
    <w:rsid w:val="00B87473"/>
    <w:rsid w:val="00B876C6"/>
    <w:rsid w:val="00B9081F"/>
    <w:rsid w:val="00B91C0D"/>
    <w:rsid w:val="00B94A25"/>
    <w:rsid w:val="00B94D6D"/>
    <w:rsid w:val="00B9656B"/>
    <w:rsid w:val="00B976D2"/>
    <w:rsid w:val="00BA110C"/>
    <w:rsid w:val="00BA19C9"/>
    <w:rsid w:val="00BA2548"/>
    <w:rsid w:val="00BA2CE1"/>
    <w:rsid w:val="00BA3046"/>
    <w:rsid w:val="00BA3ACA"/>
    <w:rsid w:val="00BA3CE5"/>
    <w:rsid w:val="00BA5262"/>
    <w:rsid w:val="00BA57EF"/>
    <w:rsid w:val="00BA653C"/>
    <w:rsid w:val="00BA7286"/>
    <w:rsid w:val="00BB0563"/>
    <w:rsid w:val="00BB0733"/>
    <w:rsid w:val="00BB2774"/>
    <w:rsid w:val="00BB3969"/>
    <w:rsid w:val="00BC0759"/>
    <w:rsid w:val="00BC1F98"/>
    <w:rsid w:val="00BC3337"/>
    <w:rsid w:val="00BC47BD"/>
    <w:rsid w:val="00BC4A04"/>
    <w:rsid w:val="00BC749B"/>
    <w:rsid w:val="00BD05B2"/>
    <w:rsid w:val="00BD0AC3"/>
    <w:rsid w:val="00BD128B"/>
    <w:rsid w:val="00BD27CF"/>
    <w:rsid w:val="00BD3D24"/>
    <w:rsid w:val="00BD3E65"/>
    <w:rsid w:val="00BD49BB"/>
    <w:rsid w:val="00BD592B"/>
    <w:rsid w:val="00BD649E"/>
    <w:rsid w:val="00BD7A4F"/>
    <w:rsid w:val="00BD7D9B"/>
    <w:rsid w:val="00BE567F"/>
    <w:rsid w:val="00BE56ED"/>
    <w:rsid w:val="00BE5891"/>
    <w:rsid w:val="00BE6E93"/>
    <w:rsid w:val="00BE773E"/>
    <w:rsid w:val="00BF0E0D"/>
    <w:rsid w:val="00BF10F6"/>
    <w:rsid w:val="00BF2974"/>
    <w:rsid w:val="00BF31C4"/>
    <w:rsid w:val="00BF4588"/>
    <w:rsid w:val="00BF4830"/>
    <w:rsid w:val="00BF5827"/>
    <w:rsid w:val="00C01AEC"/>
    <w:rsid w:val="00C01B27"/>
    <w:rsid w:val="00C034F6"/>
    <w:rsid w:val="00C04691"/>
    <w:rsid w:val="00C060C2"/>
    <w:rsid w:val="00C0639E"/>
    <w:rsid w:val="00C0659E"/>
    <w:rsid w:val="00C06680"/>
    <w:rsid w:val="00C0687C"/>
    <w:rsid w:val="00C10A98"/>
    <w:rsid w:val="00C10F17"/>
    <w:rsid w:val="00C12350"/>
    <w:rsid w:val="00C13383"/>
    <w:rsid w:val="00C14CFF"/>
    <w:rsid w:val="00C14E66"/>
    <w:rsid w:val="00C161FC"/>
    <w:rsid w:val="00C166B0"/>
    <w:rsid w:val="00C20F2C"/>
    <w:rsid w:val="00C220D8"/>
    <w:rsid w:val="00C23477"/>
    <w:rsid w:val="00C238C6"/>
    <w:rsid w:val="00C25A5E"/>
    <w:rsid w:val="00C26BE6"/>
    <w:rsid w:val="00C27B2C"/>
    <w:rsid w:val="00C27BE9"/>
    <w:rsid w:val="00C27C7F"/>
    <w:rsid w:val="00C31907"/>
    <w:rsid w:val="00C32E8B"/>
    <w:rsid w:val="00C33F73"/>
    <w:rsid w:val="00C34AF6"/>
    <w:rsid w:val="00C35A4D"/>
    <w:rsid w:val="00C40C98"/>
    <w:rsid w:val="00C40D50"/>
    <w:rsid w:val="00C4154F"/>
    <w:rsid w:val="00C444BB"/>
    <w:rsid w:val="00C44C1D"/>
    <w:rsid w:val="00C454D5"/>
    <w:rsid w:val="00C45564"/>
    <w:rsid w:val="00C45EB6"/>
    <w:rsid w:val="00C4653A"/>
    <w:rsid w:val="00C471E1"/>
    <w:rsid w:val="00C474AD"/>
    <w:rsid w:val="00C478A2"/>
    <w:rsid w:val="00C47947"/>
    <w:rsid w:val="00C47DA1"/>
    <w:rsid w:val="00C50EB0"/>
    <w:rsid w:val="00C51337"/>
    <w:rsid w:val="00C52E8B"/>
    <w:rsid w:val="00C543CD"/>
    <w:rsid w:val="00C54559"/>
    <w:rsid w:val="00C54E60"/>
    <w:rsid w:val="00C55828"/>
    <w:rsid w:val="00C57282"/>
    <w:rsid w:val="00C57B42"/>
    <w:rsid w:val="00C57C93"/>
    <w:rsid w:val="00C604BA"/>
    <w:rsid w:val="00C6334B"/>
    <w:rsid w:val="00C63606"/>
    <w:rsid w:val="00C650ED"/>
    <w:rsid w:val="00C65436"/>
    <w:rsid w:val="00C65AD0"/>
    <w:rsid w:val="00C668D6"/>
    <w:rsid w:val="00C67A58"/>
    <w:rsid w:val="00C67F1C"/>
    <w:rsid w:val="00C71932"/>
    <w:rsid w:val="00C72BEB"/>
    <w:rsid w:val="00C73A7F"/>
    <w:rsid w:val="00C76E1C"/>
    <w:rsid w:val="00C775DB"/>
    <w:rsid w:val="00C77CBF"/>
    <w:rsid w:val="00C83974"/>
    <w:rsid w:val="00C83EA3"/>
    <w:rsid w:val="00C85398"/>
    <w:rsid w:val="00C86B00"/>
    <w:rsid w:val="00C86D42"/>
    <w:rsid w:val="00C90734"/>
    <w:rsid w:val="00C909AC"/>
    <w:rsid w:val="00C93636"/>
    <w:rsid w:val="00C93697"/>
    <w:rsid w:val="00C93848"/>
    <w:rsid w:val="00C953AD"/>
    <w:rsid w:val="00C95C5F"/>
    <w:rsid w:val="00C97270"/>
    <w:rsid w:val="00CA15DB"/>
    <w:rsid w:val="00CA275C"/>
    <w:rsid w:val="00CA2B45"/>
    <w:rsid w:val="00CA31CE"/>
    <w:rsid w:val="00CA3373"/>
    <w:rsid w:val="00CA6125"/>
    <w:rsid w:val="00CA67D7"/>
    <w:rsid w:val="00CA7AFA"/>
    <w:rsid w:val="00CA7E20"/>
    <w:rsid w:val="00CB09C6"/>
    <w:rsid w:val="00CB26E1"/>
    <w:rsid w:val="00CB3844"/>
    <w:rsid w:val="00CB6853"/>
    <w:rsid w:val="00CB75BC"/>
    <w:rsid w:val="00CB7A44"/>
    <w:rsid w:val="00CB7CDF"/>
    <w:rsid w:val="00CC05A6"/>
    <w:rsid w:val="00CC103E"/>
    <w:rsid w:val="00CC1411"/>
    <w:rsid w:val="00CC14A0"/>
    <w:rsid w:val="00CC1A6F"/>
    <w:rsid w:val="00CC29A4"/>
    <w:rsid w:val="00CC2B1C"/>
    <w:rsid w:val="00CC315F"/>
    <w:rsid w:val="00CC34EC"/>
    <w:rsid w:val="00CC4A36"/>
    <w:rsid w:val="00CC4EC9"/>
    <w:rsid w:val="00CC6888"/>
    <w:rsid w:val="00CD05AC"/>
    <w:rsid w:val="00CD0F29"/>
    <w:rsid w:val="00CD22A7"/>
    <w:rsid w:val="00CD279D"/>
    <w:rsid w:val="00CD2BE3"/>
    <w:rsid w:val="00CD451E"/>
    <w:rsid w:val="00CD4FFA"/>
    <w:rsid w:val="00CD6CB0"/>
    <w:rsid w:val="00CD6D1F"/>
    <w:rsid w:val="00CD72C6"/>
    <w:rsid w:val="00CE0893"/>
    <w:rsid w:val="00CE17AF"/>
    <w:rsid w:val="00CE1FC9"/>
    <w:rsid w:val="00CE3EB5"/>
    <w:rsid w:val="00CE4912"/>
    <w:rsid w:val="00CE53A3"/>
    <w:rsid w:val="00CE6570"/>
    <w:rsid w:val="00CF15E9"/>
    <w:rsid w:val="00CF32DC"/>
    <w:rsid w:val="00CF4D9B"/>
    <w:rsid w:val="00CF5CDC"/>
    <w:rsid w:val="00CF746C"/>
    <w:rsid w:val="00CF7A53"/>
    <w:rsid w:val="00CF7A73"/>
    <w:rsid w:val="00CF7D34"/>
    <w:rsid w:val="00D00084"/>
    <w:rsid w:val="00D0023F"/>
    <w:rsid w:val="00D02593"/>
    <w:rsid w:val="00D0381E"/>
    <w:rsid w:val="00D04E95"/>
    <w:rsid w:val="00D05C1F"/>
    <w:rsid w:val="00D05E21"/>
    <w:rsid w:val="00D05EA9"/>
    <w:rsid w:val="00D07959"/>
    <w:rsid w:val="00D10219"/>
    <w:rsid w:val="00D12453"/>
    <w:rsid w:val="00D12E30"/>
    <w:rsid w:val="00D15242"/>
    <w:rsid w:val="00D15F6E"/>
    <w:rsid w:val="00D1646B"/>
    <w:rsid w:val="00D16E79"/>
    <w:rsid w:val="00D17113"/>
    <w:rsid w:val="00D17D09"/>
    <w:rsid w:val="00D220B1"/>
    <w:rsid w:val="00D22A8F"/>
    <w:rsid w:val="00D231D7"/>
    <w:rsid w:val="00D2430E"/>
    <w:rsid w:val="00D24D74"/>
    <w:rsid w:val="00D2540C"/>
    <w:rsid w:val="00D2582E"/>
    <w:rsid w:val="00D27C0A"/>
    <w:rsid w:val="00D3054E"/>
    <w:rsid w:val="00D328F0"/>
    <w:rsid w:val="00D32D37"/>
    <w:rsid w:val="00D33A03"/>
    <w:rsid w:val="00D34494"/>
    <w:rsid w:val="00D37823"/>
    <w:rsid w:val="00D3793D"/>
    <w:rsid w:val="00D4012F"/>
    <w:rsid w:val="00D40C6E"/>
    <w:rsid w:val="00D41A8A"/>
    <w:rsid w:val="00D41B08"/>
    <w:rsid w:val="00D43176"/>
    <w:rsid w:val="00D46039"/>
    <w:rsid w:val="00D46C57"/>
    <w:rsid w:val="00D47F1E"/>
    <w:rsid w:val="00D5028D"/>
    <w:rsid w:val="00D52DF8"/>
    <w:rsid w:val="00D53AAD"/>
    <w:rsid w:val="00D54828"/>
    <w:rsid w:val="00D54E94"/>
    <w:rsid w:val="00D5603F"/>
    <w:rsid w:val="00D565BF"/>
    <w:rsid w:val="00D5740A"/>
    <w:rsid w:val="00D61EB1"/>
    <w:rsid w:val="00D63D01"/>
    <w:rsid w:val="00D643CE"/>
    <w:rsid w:val="00D64CD1"/>
    <w:rsid w:val="00D66041"/>
    <w:rsid w:val="00D6668D"/>
    <w:rsid w:val="00D6676C"/>
    <w:rsid w:val="00D66F19"/>
    <w:rsid w:val="00D67B08"/>
    <w:rsid w:val="00D67CA1"/>
    <w:rsid w:val="00D67EB4"/>
    <w:rsid w:val="00D710EF"/>
    <w:rsid w:val="00D71B27"/>
    <w:rsid w:val="00D730C7"/>
    <w:rsid w:val="00D7555D"/>
    <w:rsid w:val="00D764B5"/>
    <w:rsid w:val="00D77AB2"/>
    <w:rsid w:val="00D8036E"/>
    <w:rsid w:val="00D863E5"/>
    <w:rsid w:val="00D87F86"/>
    <w:rsid w:val="00D95B91"/>
    <w:rsid w:val="00D966B1"/>
    <w:rsid w:val="00D97503"/>
    <w:rsid w:val="00DA4270"/>
    <w:rsid w:val="00DA4AA6"/>
    <w:rsid w:val="00DA4AE8"/>
    <w:rsid w:val="00DA4B75"/>
    <w:rsid w:val="00DA6189"/>
    <w:rsid w:val="00DA7657"/>
    <w:rsid w:val="00DB252B"/>
    <w:rsid w:val="00DB2EB7"/>
    <w:rsid w:val="00DB3AEB"/>
    <w:rsid w:val="00DB3BDC"/>
    <w:rsid w:val="00DB4D5C"/>
    <w:rsid w:val="00DB522D"/>
    <w:rsid w:val="00DB7345"/>
    <w:rsid w:val="00DB7504"/>
    <w:rsid w:val="00DB76EE"/>
    <w:rsid w:val="00DC30DA"/>
    <w:rsid w:val="00DC4DA6"/>
    <w:rsid w:val="00DC5119"/>
    <w:rsid w:val="00DC5419"/>
    <w:rsid w:val="00DC6CA5"/>
    <w:rsid w:val="00DC78BD"/>
    <w:rsid w:val="00DD00DF"/>
    <w:rsid w:val="00DD03E2"/>
    <w:rsid w:val="00DD1C63"/>
    <w:rsid w:val="00DD269D"/>
    <w:rsid w:val="00DD2854"/>
    <w:rsid w:val="00DD38FE"/>
    <w:rsid w:val="00DD4119"/>
    <w:rsid w:val="00DD427A"/>
    <w:rsid w:val="00DD44AF"/>
    <w:rsid w:val="00DD4586"/>
    <w:rsid w:val="00DD4B31"/>
    <w:rsid w:val="00DD564D"/>
    <w:rsid w:val="00DD769B"/>
    <w:rsid w:val="00DD778D"/>
    <w:rsid w:val="00DE0145"/>
    <w:rsid w:val="00DE1687"/>
    <w:rsid w:val="00DE19D4"/>
    <w:rsid w:val="00DE697E"/>
    <w:rsid w:val="00DE76B9"/>
    <w:rsid w:val="00DF0688"/>
    <w:rsid w:val="00DF06EE"/>
    <w:rsid w:val="00DF0CC2"/>
    <w:rsid w:val="00DF1063"/>
    <w:rsid w:val="00DF10CA"/>
    <w:rsid w:val="00DF191E"/>
    <w:rsid w:val="00DF1DE7"/>
    <w:rsid w:val="00DF2175"/>
    <w:rsid w:val="00DF259F"/>
    <w:rsid w:val="00DF2C6B"/>
    <w:rsid w:val="00DF38A1"/>
    <w:rsid w:val="00DF3A04"/>
    <w:rsid w:val="00DF4CAB"/>
    <w:rsid w:val="00DF57F0"/>
    <w:rsid w:val="00DF6182"/>
    <w:rsid w:val="00E01BA9"/>
    <w:rsid w:val="00E025D5"/>
    <w:rsid w:val="00E028F3"/>
    <w:rsid w:val="00E02FB5"/>
    <w:rsid w:val="00E03047"/>
    <w:rsid w:val="00E03762"/>
    <w:rsid w:val="00E03BFB"/>
    <w:rsid w:val="00E043BB"/>
    <w:rsid w:val="00E04A39"/>
    <w:rsid w:val="00E11DBA"/>
    <w:rsid w:val="00E121EC"/>
    <w:rsid w:val="00E13E5B"/>
    <w:rsid w:val="00E147BA"/>
    <w:rsid w:val="00E15F06"/>
    <w:rsid w:val="00E16928"/>
    <w:rsid w:val="00E16C3E"/>
    <w:rsid w:val="00E20F58"/>
    <w:rsid w:val="00E23FBE"/>
    <w:rsid w:val="00E2457C"/>
    <w:rsid w:val="00E24CC5"/>
    <w:rsid w:val="00E250D5"/>
    <w:rsid w:val="00E257E8"/>
    <w:rsid w:val="00E27185"/>
    <w:rsid w:val="00E27948"/>
    <w:rsid w:val="00E27BF3"/>
    <w:rsid w:val="00E31739"/>
    <w:rsid w:val="00E31AAB"/>
    <w:rsid w:val="00E31C5D"/>
    <w:rsid w:val="00E32A42"/>
    <w:rsid w:val="00E3303D"/>
    <w:rsid w:val="00E401EC"/>
    <w:rsid w:val="00E403C0"/>
    <w:rsid w:val="00E408E6"/>
    <w:rsid w:val="00E41C71"/>
    <w:rsid w:val="00E4247F"/>
    <w:rsid w:val="00E424BD"/>
    <w:rsid w:val="00E4461B"/>
    <w:rsid w:val="00E46A81"/>
    <w:rsid w:val="00E46C92"/>
    <w:rsid w:val="00E46CF1"/>
    <w:rsid w:val="00E518F9"/>
    <w:rsid w:val="00E51F26"/>
    <w:rsid w:val="00E53CD3"/>
    <w:rsid w:val="00E53ED1"/>
    <w:rsid w:val="00E53FFD"/>
    <w:rsid w:val="00E556D9"/>
    <w:rsid w:val="00E557E1"/>
    <w:rsid w:val="00E55E3B"/>
    <w:rsid w:val="00E57908"/>
    <w:rsid w:val="00E61B6D"/>
    <w:rsid w:val="00E711A8"/>
    <w:rsid w:val="00E71C50"/>
    <w:rsid w:val="00E72034"/>
    <w:rsid w:val="00E72174"/>
    <w:rsid w:val="00E73C94"/>
    <w:rsid w:val="00E76C63"/>
    <w:rsid w:val="00E77847"/>
    <w:rsid w:val="00E77A20"/>
    <w:rsid w:val="00E823C2"/>
    <w:rsid w:val="00E8378E"/>
    <w:rsid w:val="00E862FC"/>
    <w:rsid w:val="00E8659D"/>
    <w:rsid w:val="00E907B5"/>
    <w:rsid w:val="00E92467"/>
    <w:rsid w:val="00E92A5B"/>
    <w:rsid w:val="00E92ACE"/>
    <w:rsid w:val="00E93603"/>
    <w:rsid w:val="00E94031"/>
    <w:rsid w:val="00E94E0D"/>
    <w:rsid w:val="00E950CB"/>
    <w:rsid w:val="00E95C2C"/>
    <w:rsid w:val="00E96325"/>
    <w:rsid w:val="00E972E4"/>
    <w:rsid w:val="00EA25DA"/>
    <w:rsid w:val="00EA36F6"/>
    <w:rsid w:val="00EA3967"/>
    <w:rsid w:val="00EA3CAC"/>
    <w:rsid w:val="00EA3DCF"/>
    <w:rsid w:val="00EA3E0E"/>
    <w:rsid w:val="00EA472E"/>
    <w:rsid w:val="00EA5355"/>
    <w:rsid w:val="00EA66CC"/>
    <w:rsid w:val="00EA7556"/>
    <w:rsid w:val="00EB0D1E"/>
    <w:rsid w:val="00EB0D9C"/>
    <w:rsid w:val="00EB0ED9"/>
    <w:rsid w:val="00EB47CB"/>
    <w:rsid w:val="00EB4BCA"/>
    <w:rsid w:val="00EB52DF"/>
    <w:rsid w:val="00EB53F2"/>
    <w:rsid w:val="00EB615D"/>
    <w:rsid w:val="00EB6591"/>
    <w:rsid w:val="00EC102C"/>
    <w:rsid w:val="00EC2E38"/>
    <w:rsid w:val="00EC2FE7"/>
    <w:rsid w:val="00EC65D5"/>
    <w:rsid w:val="00EC6BA4"/>
    <w:rsid w:val="00EC6F6F"/>
    <w:rsid w:val="00ED0F71"/>
    <w:rsid w:val="00ED38ED"/>
    <w:rsid w:val="00ED39C0"/>
    <w:rsid w:val="00ED7387"/>
    <w:rsid w:val="00ED7CBA"/>
    <w:rsid w:val="00EE03CD"/>
    <w:rsid w:val="00EE0DB7"/>
    <w:rsid w:val="00EE0FB7"/>
    <w:rsid w:val="00EE1733"/>
    <w:rsid w:val="00EE188E"/>
    <w:rsid w:val="00EE1D0E"/>
    <w:rsid w:val="00EE3560"/>
    <w:rsid w:val="00EE5DEE"/>
    <w:rsid w:val="00EE67F7"/>
    <w:rsid w:val="00EE7191"/>
    <w:rsid w:val="00EE722D"/>
    <w:rsid w:val="00EE78E5"/>
    <w:rsid w:val="00EF13FD"/>
    <w:rsid w:val="00EF1500"/>
    <w:rsid w:val="00EF1706"/>
    <w:rsid w:val="00EF2193"/>
    <w:rsid w:val="00EF2924"/>
    <w:rsid w:val="00EF393E"/>
    <w:rsid w:val="00EF627F"/>
    <w:rsid w:val="00EF7118"/>
    <w:rsid w:val="00EF7256"/>
    <w:rsid w:val="00F00110"/>
    <w:rsid w:val="00F008B3"/>
    <w:rsid w:val="00F054A4"/>
    <w:rsid w:val="00F10604"/>
    <w:rsid w:val="00F10EDE"/>
    <w:rsid w:val="00F11472"/>
    <w:rsid w:val="00F11516"/>
    <w:rsid w:val="00F1186F"/>
    <w:rsid w:val="00F1412A"/>
    <w:rsid w:val="00F21946"/>
    <w:rsid w:val="00F21AAB"/>
    <w:rsid w:val="00F22A59"/>
    <w:rsid w:val="00F22AAD"/>
    <w:rsid w:val="00F22C76"/>
    <w:rsid w:val="00F230B1"/>
    <w:rsid w:val="00F259A7"/>
    <w:rsid w:val="00F25DFF"/>
    <w:rsid w:val="00F265E9"/>
    <w:rsid w:val="00F265EB"/>
    <w:rsid w:val="00F2753F"/>
    <w:rsid w:val="00F310FE"/>
    <w:rsid w:val="00F3111A"/>
    <w:rsid w:val="00F31F9A"/>
    <w:rsid w:val="00F3275E"/>
    <w:rsid w:val="00F32C46"/>
    <w:rsid w:val="00F32E95"/>
    <w:rsid w:val="00F347EC"/>
    <w:rsid w:val="00F376D9"/>
    <w:rsid w:val="00F37813"/>
    <w:rsid w:val="00F37FB0"/>
    <w:rsid w:val="00F417C0"/>
    <w:rsid w:val="00F41EE7"/>
    <w:rsid w:val="00F421D4"/>
    <w:rsid w:val="00F42467"/>
    <w:rsid w:val="00F42CC2"/>
    <w:rsid w:val="00F430DC"/>
    <w:rsid w:val="00F45403"/>
    <w:rsid w:val="00F4694B"/>
    <w:rsid w:val="00F46A3B"/>
    <w:rsid w:val="00F46B2D"/>
    <w:rsid w:val="00F47BDA"/>
    <w:rsid w:val="00F5059C"/>
    <w:rsid w:val="00F50836"/>
    <w:rsid w:val="00F51059"/>
    <w:rsid w:val="00F538ED"/>
    <w:rsid w:val="00F53955"/>
    <w:rsid w:val="00F54381"/>
    <w:rsid w:val="00F55398"/>
    <w:rsid w:val="00F55A6A"/>
    <w:rsid w:val="00F55C90"/>
    <w:rsid w:val="00F56733"/>
    <w:rsid w:val="00F60797"/>
    <w:rsid w:val="00F626F9"/>
    <w:rsid w:val="00F63502"/>
    <w:rsid w:val="00F64824"/>
    <w:rsid w:val="00F66479"/>
    <w:rsid w:val="00F668C2"/>
    <w:rsid w:val="00F66A1D"/>
    <w:rsid w:val="00F740F8"/>
    <w:rsid w:val="00F74299"/>
    <w:rsid w:val="00F74372"/>
    <w:rsid w:val="00F74782"/>
    <w:rsid w:val="00F75DB3"/>
    <w:rsid w:val="00F766F1"/>
    <w:rsid w:val="00F76F6D"/>
    <w:rsid w:val="00F779F6"/>
    <w:rsid w:val="00F803E3"/>
    <w:rsid w:val="00F80421"/>
    <w:rsid w:val="00F8186F"/>
    <w:rsid w:val="00F8240B"/>
    <w:rsid w:val="00F83D32"/>
    <w:rsid w:val="00F85347"/>
    <w:rsid w:val="00F855CF"/>
    <w:rsid w:val="00F87251"/>
    <w:rsid w:val="00F908C1"/>
    <w:rsid w:val="00F91E11"/>
    <w:rsid w:val="00F91FA4"/>
    <w:rsid w:val="00F92066"/>
    <w:rsid w:val="00F92B0E"/>
    <w:rsid w:val="00F94630"/>
    <w:rsid w:val="00F94B65"/>
    <w:rsid w:val="00F9543A"/>
    <w:rsid w:val="00F9723E"/>
    <w:rsid w:val="00FA027D"/>
    <w:rsid w:val="00FA051D"/>
    <w:rsid w:val="00FA149C"/>
    <w:rsid w:val="00FA283D"/>
    <w:rsid w:val="00FA2859"/>
    <w:rsid w:val="00FA40BB"/>
    <w:rsid w:val="00FA508B"/>
    <w:rsid w:val="00FA6C80"/>
    <w:rsid w:val="00FA7AA1"/>
    <w:rsid w:val="00FB036D"/>
    <w:rsid w:val="00FB1192"/>
    <w:rsid w:val="00FB19D2"/>
    <w:rsid w:val="00FC062D"/>
    <w:rsid w:val="00FC06A4"/>
    <w:rsid w:val="00FC0FDB"/>
    <w:rsid w:val="00FC33DD"/>
    <w:rsid w:val="00FC4BC3"/>
    <w:rsid w:val="00FC59DB"/>
    <w:rsid w:val="00FC7276"/>
    <w:rsid w:val="00FC7D46"/>
    <w:rsid w:val="00FD0BCC"/>
    <w:rsid w:val="00FD15AE"/>
    <w:rsid w:val="00FD1A8B"/>
    <w:rsid w:val="00FD46AB"/>
    <w:rsid w:val="00FD722F"/>
    <w:rsid w:val="00FD7351"/>
    <w:rsid w:val="00FD7598"/>
    <w:rsid w:val="00FD7BA2"/>
    <w:rsid w:val="00FD7E4E"/>
    <w:rsid w:val="00FD7F70"/>
    <w:rsid w:val="00FE0F67"/>
    <w:rsid w:val="00FE2389"/>
    <w:rsid w:val="00FE2D29"/>
    <w:rsid w:val="00FE49A9"/>
    <w:rsid w:val="00FE5066"/>
    <w:rsid w:val="00FE6539"/>
    <w:rsid w:val="00FE7157"/>
    <w:rsid w:val="00FF2121"/>
    <w:rsid w:val="00FF2D33"/>
    <w:rsid w:val="00FF3A55"/>
    <w:rsid w:val="00FF4FF3"/>
    <w:rsid w:val="00FF6A86"/>
    <w:rsid w:val="00FF7FF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AB27E3"/>
  <w15:docId w15:val="{11B4C3ED-9120-4163-A612-F2F64C38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8E8"/>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h1,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F3111A"/>
    <w:pPr>
      <w:keepNext/>
      <w:numPr>
        <w:numId w:val="14"/>
      </w:numPr>
      <w:spacing w:before="240" w:after="60"/>
      <w:outlineLvl w:val="0"/>
    </w:pPr>
    <w:rPr>
      <w:rFonts w:cs="Arial"/>
      <w:b/>
      <w:bCs/>
      <w:kern w:val="32"/>
      <w:sz w:val="32"/>
      <w:szCs w:val="32"/>
    </w:rPr>
  </w:style>
  <w:style w:type="paragraph" w:styleId="Heading2">
    <w:name w:val="heading 2"/>
    <w:aliases w:val="h2,Para2,Head hdbk,Top 2,H2,h2 main heading,B Sub/Bold,B Sub/Bold1,B Sub/Bold2,B Sub/Bold11,h2 main heading1,h2 main heading2,B Sub/Bold3,B Sub/Bold12,h2 main heading3,B Sub/Bold4,B Sub/Bold13,SubPara,2 headline,h,sub,Para 2,a.,a.1,a.2,body,1"/>
    <w:basedOn w:val="Normal"/>
    <w:next w:val="Normal"/>
    <w:link w:val="Heading2Char"/>
    <w:unhideWhenUsed/>
    <w:qFormat/>
    <w:rsid w:val="00F3111A"/>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1"/>
    <w:qFormat/>
    <w:rsid w:val="00ED38ED"/>
    <w:pPr>
      <w:keepNext/>
      <w:keepLines/>
      <w:numPr>
        <w:ilvl w:val="2"/>
        <w:numId w:val="6"/>
      </w:numPr>
      <w:spacing w:before="200" w:after="0"/>
      <w:outlineLvl w:val="2"/>
    </w:pPr>
    <w:rPr>
      <w:rFonts w:ascii="Times New Roman" w:hAnsi="Times New Roman"/>
      <w:b/>
      <w:bCs/>
    </w:rPr>
  </w:style>
  <w:style w:type="paragraph" w:styleId="Heading4">
    <w:name w:val="heading 4"/>
    <w:aliases w:val="Para4,headhbk,(a),h4"/>
    <w:basedOn w:val="Normal"/>
    <w:next w:val="Normal"/>
    <w:link w:val="Heading4Char1"/>
    <w:qFormat/>
    <w:rsid w:val="00ED38ED"/>
    <w:pPr>
      <w:keepNext/>
      <w:keepLines/>
      <w:numPr>
        <w:ilvl w:val="3"/>
        <w:numId w:val="6"/>
      </w:numPr>
      <w:spacing w:before="200" w:after="0"/>
      <w:outlineLvl w:val="3"/>
    </w:pPr>
    <w:rPr>
      <w:rFonts w:ascii="Times New Roman" w:hAnsi="Times New Roman"/>
      <w:b/>
      <w:bCs/>
      <w:iCs/>
    </w:rPr>
  </w:style>
  <w:style w:type="paragraph" w:styleId="Heading5">
    <w:name w:val="heading 5"/>
    <w:aliases w:val="Para5,i.,H,subsubpara,1.1.1.1.1"/>
    <w:basedOn w:val="Normal"/>
    <w:next w:val="Normal"/>
    <w:link w:val="Heading5Char1"/>
    <w:qFormat/>
    <w:rsid w:val="00ED38ED"/>
    <w:pPr>
      <w:numPr>
        <w:ilvl w:val="4"/>
        <w:numId w:val="6"/>
      </w:numPr>
      <w:spacing w:before="240" w:after="60"/>
      <w:outlineLvl w:val="4"/>
    </w:pPr>
    <w:rPr>
      <w:b/>
      <w:bCs/>
      <w:iCs/>
      <w:szCs w:val="26"/>
    </w:rPr>
  </w:style>
  <w:style w:type="paragraph" w:styleId="Heading6">
    <w:name w:val="heading 6"/>
    <w:aliases w:val="sub-dash,sd,5,Spare2"/>
    <w:basedOn w:val="Normal"/>
    <w:next w:val="Normal"/>
    <w:link w:val="Heading6Char1"/>
    <w:qFormat/>
    <w:rsid w:val="00ED38ED"/>
    <w:pPr>
      <w:numPr>
        <w:ilvl w:val="5"/>
        <w:numId w:val="6"/>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
    <w:basedOn w:val="Normal"/>
    <w:next w:val="Normal"/>
    <w:link w:val="Heading7Char1"/>
    <w:qFormat/>
    <w:rsid w:val="00ED38ED"/>
    <w:pPr>
      <w:numPr>
        <w:ilvl w:val="6"/>
        <w:numId w:val="6"/>
      </w:numPr>
      <w:spacing w:before="240" w:after="60"/>
      <w:outlineLvl w:val="6"/>
    </w:pPr>
    <w:rPr>
      <w:rFonts w:ascii="Times New Roman" w:hAnsi="Times New Roman"/>
      <w:sz w:val="24"/>
    </w:rPr>
  </w:style>
  <w:style w:type="paragraph" w:styleId="Heading8">
    <w:name w:val="heading 8"/>
    <w:aliases w:val="Spare4"/>
    <w:basedOn w:val="Normal"/>
    <w:next w:val="Normal"/>
    <w:link w:val="Heading8Char1"/>
    <w:qFormat/>
    <w:rsid w:val="00ED38ED"/>
    <w:pPr>
      <w:numPr>
        <w:ilvl w:val="7"/>
        <w:numId w:val="6"/>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1"/>
    <w:qFormat/>
    <w:rsid w:val="00ED38ED"/>
    <w:pPr>
      <w:numPr>
        <w:ilvl w:val="8"/>
        <w:numId w:val="6"/>
      </w:numPr>
      <w:spacing w:before="240" w:after="60"/>
      <w:outlineLvl w:val="8"/>
    </w:pPr>
    <w:rPr>
      <w:rFonts w:cs="Arial"/>
    </w:rPr>
  </w:style>
  <w:style w:type="character" w:default="1" w:styleId="DefaultParagraphFont">
    <w:name w:val="Default Paragraph Font"/>
    <w:uiPriority w:val="1"/>
    <w:semiHidden/>
    <w:unhideWhenUsed/>
    <w:rsid w:val="007B78E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78E8"/>
  </w:style>
  <w:style w:type="character" w:customStyle="1" w:styleId="Heading1Char1">
    <w:name w:val="Heading 1 Char1"/>
    <w:aliases w:val="h1 Char1,Para1 Char1,Top 1 Char1,ParaLevel1 Char1,Level 1 Para Char1,Level 1 Para1 Char1,Level 1 Para2 Char1,Level 1 Para3 Char1,Level 1 Para4 Char1,Level 1 Para11 Char1,Level 1 Para21 Char1,Level 1 Para31 Char1,Level 1 Para5 Char1"/>
    <w:locked/>
    <w:rsid w:val="00CA6125"/>
    <w:rPr>
      <w:rFonts w:ascii="Arial" w:hAnsi="Arial" w:cs="Arial"/>
      <w:b/>
      <w:bCs/>
      <w:kern w:val="32"/>
      <w:sz w:val="32"/>
      <w:szCs w:val="32"/>
    </w:rPr>
  </w:style>
  <w:style w:type="character" w:customStyle="1" w:styleId="Heading2Char">
    <w:name w:val="Heading 2 Char"/>
    <w:aliases w:val="h2 Char,Para2 Char,Head hdbk Char,Top 2 Char,H2 Char,h2 main heading Char,B Sub/Bold Char,B Sub/Bold1 Char,B Sub/Bold2 Char,B Sub/Bold11 Char,h2 main heading1 Char,h2 main heading2 Char,B Sub/Bold3 Char,B Sub/Bold12 Char,B Sub/Bold4 Char"/>
    <w:link w:val="Heading2"/>
    <w:locked/>
    <w:rsid w:val="00F3111A"/>
    <w:rPr>
      <w:rFonts w:ascii="Cambria" w:hAnsi="Cambria"/>
      <w:b/>
      <w:bCs/>
      <w:color w:val="4F81BD"/>
      <w:sz w:val="26"/>
      <w:szCs w:val="26"/>
    </w:rPr>
  </w:style>
  <w:style w:type="character" w:customStyle="1" w:styleId="Heading3Char1">
    <w:name w:val="Heading 3 Char1"/>
    <w:aliases w:val="Para3 Char1,head3hdbk Char1,H3 Char1,C Sub-Sub/Italic Char1,h3 sub heading Char1,Head 3 Char1,Head 31 Char1,Head 32 Char1,C Sub-Sub/Italic1 Char1,3 Char1,Sub2Para Char1,(1) Char1,Major Sections Char1,subsub Char1,Para 3 Char1,h3 Char1"/>
    <w:link w:val="Heading3"/>
    <w:locked/>
    <w:rsid w:val="00CA6125"/>
    <w:rPr>
      <w:b/>
      <w:bCs/>
      <w:szCs w:val="24"/>
    </w:rPr>
  </w:style>
  <w:style w:type="character" w:customStyle="1" w:styleId="Heading4Char1">
    <w:name w:val="Heading 4 Char1"/>
    <w:aliases w:val="Para4 Char1,headhbk Char1,(a) Char1,h4 Char1"/>
    <w:link w:val="Heading4"/>
    <w:locked/>
    <w:rsid w:val="00CA6125"/>
    <w:rPr>
      <w:b/>
      <w:bCs/>
      <w:iCs/>
      <w:szCs w:val="24"/>
    </w:rPr>
  </w:style>
  <w:style w:type="character" w:customStyle="1" w:styleId="Heading5Char1">
    <w:name w:val="Heading 5 Char1"/>
    <w:aliases w:val="Para5 Char1,i. Char1,H Char1,subsubpara Char1,1.1.1.1.1 Char1"/>
    <w:link w:val="Heading5"/>
    <w:locked/>
    <w:rsid w:val="00CA6125"/>
    <w:rPr>
      <w:rFonts w:ascii="Arial" w:hAnsi="Arial"/>
      <w:b/>
      <w:bCs/>
      <w:iCs/>
      <w:szCs w:val="26"/>
    </w:rPr>
  </w:style>
  <w:style w:type="character" w:customStyle="1" w:styleId="Heading6Char1">
    <w:name w:val="Heading 6 Char1"/>
    <w:aliases w:val="sub-dash Char1,sd Char1,5 Char1,Spare2 Char1"/>
    <w:link w:val="Heading6"/>
    <w:locked/>
    <w:rsid w:val="00CA6125"/>
    <w:rPr>
      <w:b/>
      <w:bCs/>
      <w:sz w:val="22"/>
      <w:szCs w:val="24"/>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
    <w:link w:val="Heading7"/>
    <w:locked/>
    <w:rsid w:val="00CA6125"/>
    <w:rPr>
      <w:sz w:val="24"/>
      <w:szCs w:val="24"/>
    </w:rPr>
  </w:style>
  <w:style w:type="character" w:customStyle="1" w:styleId="Heading8Char1">
    <w:name w:val="Heading 8 Char1"/>
    <w:aliases w:val="Spare4 Char1"/>
    <w:link w:val="Heading8"/>
    <w:locked/>
    <w:rsid w:val="00CA6125"/>
    <w:rPr>
      <w:i/>
      <w:iCs/>
      <w:sz w:val="24"/>
      <w:szCs w:val="24"/>
    </w:rPr>
  </w:style>
  <w:style w:type="character" w:customStyle="1" w:styleId="Heading9Char1">
    <w:name w:val="Heading 9 Char1"/>
    <w:aliases w:val="Spare5 Char1"/>
    <w:link w:val="Heading9"/>
    <w:locked/>
    <w:rsid w:val="00CA6125"/>
    <w:rPr>
      <w:rFonts w:ascii="Arial" w:hAnsi="Arial" w:cs="Arial"/>
      <w:sz w:val="22"/>
      <w:szCs w:val="24"/>
    </w:rPr>
  </w:style>
  <w:style w:type="character" w:customStyle="1" w:styleId="Heading1Char">
    <w:name w:val="Heading 1 Char"/>
    <w:aliases w:val="h1 Char,Para1 Char,Top 1 Char,ParaLevel1 Char,Level 1 Para Char,Level 1 Para1 Char,Level 1 Para2 Char,Level 1 Para3 Char,Level 1 Para4 Char,Level 1 Para11 Char,Level 1 Para21 Char,Level 1 Para31 Char,Level 1 Para5 Char,Level 1 Para12 Char"/>
    <w:link w:val="Heading1"/>
    <w:locked/>
    <w:rsid w:val="00890ED0"/>
    <w:rPr>
      <w:rFonts w:ascii="Arial" w:hAnsi="Arial" w:cs="Arial"/>
      <w:b/>
      <w:bCs/>
      <w:kern w:val="32"/>
      <w:sz w:val="32"/>
      <w:szCs w:val="32"/>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semiHidden/>
    <w:locked/>
    <w:rsid w:val="00CA6125"/>
    <w:rPr>
      <w:rFonts w:ascii="Cambria" w:hAnsi="Cambria" w:cs="Times New Roman"/>
      <w:b/>
      <w:sz w:val="26"/>
      <w:lang w:val="x-none" w:eastAsia="en-US"/>
    </w:rPr>
  </w:style>
  <w:style w:type="character" w:customStyle="1" w:styleId="Heading4Char">
    <w:name w:val="Heading 4 Char"/>
    <w:aliases w:val="Para4 Char,headhbk Char,(a) Char,h4 Char"/>
    <w:semiHidden/>
    <w:locked/>
    <w:rsid w:val="00CA6125"/>
    <w:rPr>
      <w:rFonts w:ascii="Calibri" w:hAnsi="Calibri" w:cs="Times New Roman"/>
      <w:b/>
      <w:sz w:val="28"/>
      <w:lang w:val="x-none" w:eastAsia="en-US"/>
    </w:rPr>
  </w:style>
  <w:style w:type="character" w:customStyle="1" w:styleId="Heading5Char">
    <w:name w:val="Heading 5 Char"/>
    <w:aliases w:val="Para5 Char,i. Char,H Char,subsubpara Char,1.1.1.1.1 Char"/>
    <w:semiHidden/>
    <w:locked/>
    <w:rsid w:val="00CA6125"/>
    <w:rPr>
      <w:rFonts w:ascii="Calibri" w:hAnsi="Calibri" w:cs="Times New Roman"/>
      <w:b/>
      <w:i/>
      <w:sz w:val="26"/>
      <w:lang w:val="x-none" w:eastAsia="en-US"/>
    </w:rPr>
  </w:style>
  <w:style w:type="character" w:customStyle="1" w:styleId="Heading6Char">
    <w:name w:val="Heading 6 Char"/>
    <w:aliases w:val="sub-dash Char,sd Char,5 Char,Spare2 Char"/>
    <w:semiHidden/>
    <w:locked/>
    <w:rsid w:val="00CA6125"/>
    <w:rPr>
      <w:rFonts w:ascii="Calibri" w:hAnsi="Calibri" w:cs="Times New Roman"/>
      <w:b/>
      <w:sz w:val="22"/>
      <w:lang w:val="x-none" w:eastAsia="en-US"/>
    </w:rPr>
  </w:style>
  <w:style w:type="character" w:customStyle="1" w:styleId="Heading8Char">
    <w:name w:val="Heading 8 Char"/>
    <w:aliases w:val="Spare4 Char"/>
    <w:semiHidden/>
    <w:locked/>
    <w:rsid w:val="00CA6125"/>
    <w:rPr>
      <w:rFonts w:ascii="Calibri" w:hAnsi="Calibri" w:cs="Times New Roman"/>
      <w:i/>
      <w:sz w:val="24"/>
      <w:lang w:val="x-none" w:eastAsia="en-US"/>
    </w:rPr>
  </w:style>
  <w:style w:type="character" w:customStyle="1" w:styleId="Heading9Char">
    <w:name w:val="Heading 9 Char"/>
    <w:aliases w:val="Spare5 Char"/>
    <w:semiHidden/>
    <w:locked/>
    <w:rsid w:val="00CA6125"/>
    <w:rPr>
      <w:rFonts w:ascii="Cambria" w:hAnsi="Cambria" w:cs="Times New Roman"/>
      <w:sz w:val="22"/>
      <w:lang w:val="x-none" w:eastAsia="en-US"/>
    </w:rPr>
  </w:style>
  <w:style w:type="paragraph" w:styleId="BodyText">
    <w:name w:val="Body Text"/>
    <w:basedOn w:val="Normal"/>
    <w:link w:val="BodyTextChar1"/>
    <w:rsid w:val="00ED38ED"/>
  </w:style>
  <w:style w:type="character" w:customStyle="1" w:styleId="BodyTextChar1">
    <w:name w:val="Body Text Char1"/>
    <w:link w:val="BodyText"/>
    <w:locked/>
    <w:rsid w:val="00CA6125"/>
    <w:rPr>
      <w:rFonts w:ascii="Arial" w:eastAsia="Calibri" w:hAnsi="Arial"/>
      <w:szCs w:val="22"/>
      <w:lang w:val="en-AU" w:eastAsia="en-US" w:bidi="ar-SA"/>
    </w:rPr>
  </w:style>
  <w:style w:type="character" w:customStyle="1" w:styleId="BodyTextChar">
    <w:name w:val="Body Text Char"/>
    <w:semiHidden/>
    <w:locked/>
    <w:rsid w:val="00CA6125"/>
    <w:rPr>
      <w:rFonts w:ascii="Arial" w:hAnsi="Arial" w:cs="Times New Roman"/>
      <w:sz w:val="22"/>
      <w:lang w:val="x-none" w:eastAsia="en-US"/>
    </w:rPr>
  </w:style>
  <w:style w:type="paragraph" w:customStyle="1" w:styleId="Figure">
    <w:name w:val="Figure"/>
    <w:basedOn w:val="Normal"/>
    <w:semiHidden/>
    <w:rsid w:val="001260E7"/>
    <w:rPr>
      <w:sz w:val="28"/>
    </w:rPr>
  </w:style>
  <w:style w:type="paragraph" w:customStyle="1" w:styleId="Unpara1">
    <w:name w:val="Unpara1"/>
    <w:basedOn w:val="Normal"/>
    <w:semiHidden/>
    <w:rsid w:val="001260E7"/>
    <w:rPr>
      <w:sz w:val="24"/>
    </w:rPr>
  </w:style>
  <w:style w:type="character" w:styleId="CommentReference">
    <w:name w:val="annotation reference"/>
    <w:semiHidden/>
    <w:rsid w:val="00CA6125"/>
    <w:rPr>
      <w:rFonts w:cs="Times New Roman"/>
      <w:sz w:val="16"/>
    </w:rPr>
  </w:style>
  <w:style w:type="paragraph" w:styleId="CommentText">
    <w:name w:val="annotation text"/>
    <w:basedOn w:val="Normal"/>
    <w:link w:val="CommentTextChar1"/>
    <w:semiHidden/>
    <w:rsid w:val="00CA6125"/>
    <w:rPr>
      <w:szCs w:val="20"/>
    </w:rPr>
  </w:style>
  <w:style w:type="character" w:customStyle="1" w:styleId="CommentTextChar1">
    <w:name w:val="Comment Text Char1"/>
    <w:link w:val="CommentText"/>
    <w:semiHidden/>
    <w:locked/>
    <w:rsid w:val="00CA6125"/>
    <w:rPr>
      <w:rFonts w:ascii="Arial" w:hAnsi="Arial"/>
      <w:sz w:val="22"/>
      <w:lang w:val="x-none" w:eastAsia="en-US"/>
    </w:rPr>
  </w:style>
  <w:style w:type="character" w:customStyle="1" w:styleId="CommentTextChar">
    <w:name w:val="Comment Text Char"/>
    <w:semiHidden/>
    <w:locked/>
    <w:rsid w:val="00CA6125"/>
    <w:rPr>
      <w:rFonts w:ascii="Arial" w:hAnsi="Arial" w:cs="Times New Roman"/>
      <w:lang w:val="x-none" w:eastAsia="en-US"/>
    </w:rPr>
  </w:style>
  <w:style w:type="character" w:styleId="PageNumber">
    <w:name w:val="page number"/>
    <w:rsid w:val="00CA6125"/>
    <w:rPr>
      <w:rFonts w:cs="Times New Roman"/>
    </w:rPr>
  </w:style>
  <w:style w:type="paragraph" w:styleId="Header">
    <w:name w:val="header"/>
    <w:basedOn w:val="Normal"/>
    <w:link w:val="HeaderChar1"/>
    <w:semiHidden/>
    <w:rsid w:val="00CA6125"/>
    <w:pPr>
      <w:tabs>
        <w:tab w:val="center" w:pos="4153"/>
        <w:tab w:val="right" w:pos="8306"/>
      </w:tabs>
    </w:pPr>
    <w:rPr>
      <w:szCs w:val="20"/>
    </w:rPr>
  </w:style>
  <w:style w:type="character" w:customStyle="1" w:styleId="HeaderChar1">
    <w:name w:val="Header Char1"/>
    <w:link w:val="Header"/>
    <w:semiHidden/>
    <w:locked/>
    <w:rsid w:val="00CA6125"/>
    <w:rPr>
      <w:rFonts w:ascii="Arial" w:hAnsi="Arial"/>
      <w:sz w:val="22"/>
      <w:lang w:val="x-none" w:eastAsia="en-US"/>
    </w:rPr>
  </w:style>
  <w:style w:type="character" w:customStyle="1" w:styleId="HeaderChar">
    <w:name w:val="Header Char"/>
    <w:semiHidden/>
    <w:locked/>
    <w:rsid w:val="00CA6125"/>
    <w:rPr>
      <w:rFonts w:ascii="Arial" w:hAnsi="Arial" w:cs="Times New Roman"/>
      <w:sz w:val="22"/>
      <w:lang w:val="x-none" w:eastAsia="en-US"/>
    </w:rPr>
  </w:style>
  <w:style w:type="paragraph" w:styleId="Footer">
    <w:name w:val="footer"/>
    <w:basedOn w:val="Normal"/>
    <w:link w:val="FooterChar1"/>
    <w:semiHidden/>
    <w:rsid w:val="00CA6125"/>
    <w:pPr>
      <w:tabs>
        <w:tab w:val="center" w:pos="4153"/>
        <w:tab w:val="right" w:pos="8306"/>
      </w:tabs>
    </w:pPr>
    <w:rPr>
      <w:szCs w:val="20"/>
    </w:rPr>
  </w:style>
  <w:style w:type="character" w:customStyle="1" w:styleId="FooterChar1">
    <w:name w:val="Footer Char1"/>
    <w:link w:val="Footer"/>
    <w:semiHidden/>
    <w:locked/>
    <w:rsid w:val="00CA6125"/>
    <w:rPr>
      <w:rFonts w:ascii="Arial" w:hAnsi="Arial"/>
      <w:sz w:val="22"/>
      <w:lang w:val="x-none" w:eastAsia="en-US"/>
    </w:rPr>
  </w:style>
  <w:style w:type="character" w:customStyle="1" w:styleId="FooterChar">
    <w:name w:val="Footer Char"/>
    <w:semiHidden/>
    <w:locked/>
    <w:rsid w:val="00CA6125"/>
    <w:rPr>
      <w:rFonts w:ascii="Arial" w:hAnsi="Arial" w:cs="Times New Roman"/>
      <w:sz w:val="22"/>
      <w:lang w:val="x-none" w:eastAsia="en-US"/>
    </w:rPr>
  </w:style>
  <w:style w:type="paragraph" w:customStyle="1" w:styleId="ListType1">
    <w:name w:val="List Type 1"/>
    <w:basedOn w:val="Normal"/>
    <w:semiHidden/>
    <w:rsid w:val="001260E7"/>
    <w:pPr>
      <w:ind w:left="1854" w:right="1008" w:hanging="720"/>
    </w:pPr>
    <w:rPr>
      <w:sz w:val="24"/>
    </w:rPr>
  </w:style>
  <w:style w:type="paragraph" w:customStyle="1" w:styleId="Tag">
    <w:name w:val="Tag"/>
    <w:basedOn w:val="Normal"/>
    <w:semiHidden/>
    <w:rsid w:val="001260E7"/>
    <w:pPr>
      <w:keepNext/>
    </w:pPr>
  </w:style>
  <w:style w:type="paragraph" w:customStyle="1" w:styleId="AnnexList">
    <w:name w:val="AnnexList"/>
    <w:basedOn w:val="Normal"/>
    <w:semiHidden/>
    <w:rsid w:val="001260E7"/>
    <w:pPr>
      <w:ind w:left="641" w:hanging="641"/>
    </w:pPr>
  </w:style>
  <w:style w:type="character" w:styleId="Hyperlink">
    <w:name w:val="Hyperlink"/>
    <w:uiPriority w:val="99"/>
    <w:unhideWhenUsed/>
    <w:rsid w:val="00F3111A"/>
    <w:rPr>
      <w:color w:val="0000FF"/>
      <w:u w:val="single"/>
    </w:rPr>
  </w:style>
  <w:style w:type="paragraph" w:styleId="BodyTextIndent2">
    <w:name w:val="Body Text Indent 2"/>
    <w:basedOn w:val="Normal"/>
    <w:link w:val="BodyTextIndent2Char"/>
    <w:semiHidden/>
    <w:rsid w:val="001260E7"/>
    <w:pPr>
      <w:ind w:left="1440"/>
    </w:pPr>
    <w:rPr>
      <w:sz w:val="24"/>
    </w:rPr>
  </w:style>
  <w:style w:type="character" w:customStyle="1" w:styleId="BodyTextIndent2Char">
    <w:name w:val="Body Text Indent 2 Char"/>
    <w:link w:val="BodyTextIndent2"/>
    <w:semiHidden/>
    <w:locked/>
    <w:rPr>
      <w:rFonts w:ascii="Arial" w:hAnsi="Arial" w:cs="Times New Roman"/>
      <w:sz w:val="20"/>
      <w:lang w:val="x-none" w:eastAsia="en-US"/>
    </w:rPr>
  </w:style>
  <w:style w:type="character" w:styleId="FollowedHyperlink">
    <w:name w:val="FollowedHyperlink"/>
    <w:semiHidden/>
    <w:rsid w:val="00CA6125"/>
    <w:rPr>
      <w:rFonts w:cs="Times New Roman"/>
      <w:color w:val="800080"/>
      <w:u w:val="single"/>
    </w:rPr>
  </w:style>
  <w:style w:type="paragraph" w:styleId="BlockText">
    <w:name w:val="Block Text"/>
    <w:basedOn w:val="Normal"/>
    <w:semiHidden/>
    <w:rsid w:val="001260E7"/>
    <w:pPr>
      <w:spacing w:after="240"/>
      <w:ind w:left="2127" w:right="238" w:hanging="2127"/>
    </w:pPr>
    <w:rPr>
      <w:sz w:val="24"/>
    </w:rPr>
  </w:style>
  <w:style w:type="paragraph" w:customStyle="1" w:styleId="BodyText21">
    <w:name w:val="Body Text 21"/>
    <w:basedOn w:val="Normal"/>
    <w:semiHidden/>
    <w:rsid w:val="001260E7"/>
    <w:pPr>
      <w:keepNext/>
      <w:spacing w:after="240"/>
      <w:ind w:right="522"/>
    </w:pPr>
    <w:rPr>
      <w:sz w:val="24"/>
    </w:rPr>
  </w:style>
  <w:style w:type="paragraph" w:styleId="BodyText3">
    <w:name w:val="Body Text 3"/>
    <w:basedOn w:val="Normal"/>
    <w:link w:val="BodyText3Char"/>
    <w:semiHidden/>
    <w:rsid w:val="001260E7"/>
    <w:pPr>
      <w:spacing w:after="240"/>
    </w:pPr>
  </w:style>
  <w:style w:type="character" w:customStyle="1" w:styleId="BodyText3Char">
    <w:name w:val="Body Text 3 Char"/>
    <w:link w:val="BodyText3"/>
    <w:semiHidden/>
    <w:locked/>
    <w:rPr>
      <w:rFonts w:ascii="Arial" w:hAnsi="Arial" w:cs="Times New Roman"/>
      <w:sz w:val="16"/>
      <w:szCs w:val="16"/>
      <w:lang w:val="x-none" w:eastAsia="en-US"/>
    </w:rPr>
  </w:style>
  <w:style w:type="paragraph" w:styleId="BodyText2">
    <w:name w:val="Body Text 2"/>
    <w:basedOn w:val="Normal"/>
    <w:link w:val="BodyText2Char"/>
    <w:semiHidden/>
    <w:rsid w:val="009244CF"/>
    <w:pPr>
      <w:ind w:left="720" w:hanging="720"/>
    </w:pPr>
    <w:rPr>
      <w:b/>
      <w:sz w:val="24"/>
    </w:rPr>
  </w:style>
  <w:style w:type="character" w:customStyle="1" w:styleId="BodyText2Char">
    <w:name w:val="Body Text 2 Char"/>
    <w:link w:val="BodyText2"/>
    <w:semiHidden/>
    <w:locked/>
    <w:rPr>
      <w:rFonts w:ascii="Arial" w:hAnsi="Arial" w:cs="Times New Roman"/>
      <w:sz w:val="20"/>
      <w:lang w:val="x-none" w:eastAsia="en-US"/>
    </w:rPr>
  </w:style>
  <w:style w:type="paragraph" w:styleId="DocumentMap">
    <w:name w:val="Document Map"/>
    <w:basedOn w:val="Normal"/>
    <w:link w:val="DocumentMapChar"/>
    <w:semiHidden/>
    <w:rsid w:val="001260E7"/>
    <w:pPr>
      <w:shd w:val="clear" w:color="auto" w:fill="000080"/>
    </w:pPr>
    <w:rPr>
      <w:rFonts w:ascii="Tahoma" w:hAnsi="Tahoma"/>
    </w:rPr>
  </w:style>
  <w:style w:type="character" w:customStyle="1" w:styleId="DocumentMapChar">
    <w:name w:val="Document Map Char"/>
    <w:link w:val="DocumentMap"/>
    <w:semiHidden/>
    <w:locked/>
    <w:rPr>
      <w:rFonts w:cs="Times New Roman"/>
      <w:sz w:val="2"/>
      <w:lang w:val="x-none" w:eastAsia="en-US"/>
    </w:rPr>
  </w:style>
  <w:style w:type="paragraph" w:customStyle="1" w:styleId="Leg2Sec1">
    <w:name w:val="Leg2 Sec: 1."/>
    <w:basedOn w:val="Normal"/>
    <w:semiHidden/>
    <w:rsid w:val="001260E7"/>
    <w:pPr>
      <w:spacing w:before="80" w:after="80" w:line="270" w:lineRule="atLeast"/>
      <w:ind w:left="1701" w:right="567" w:hanging="1134"/>
    </w:pPr>
    <w:rPr>
      <w:rFonts w:ascii="Times" w:hAnsi="Times"/>
      <w:color w:val="000000"/>
    </w:rPr>
  </w:style>
  <w:style w:type="paragraph" w:customStyle="1" w:styleId="NormalBase">
    <w:name w:val="Normal Base"/>
    <w:semiHidden/>
    <w:rsid w:val="001260E7"/>
    <w:pPr>
      <w:tabs>
        <w:tab w:val="left" w:pos="567"/>
      </w:tabs>
      <w:spacing w:before="120" w:after="120" w:line="300" w:lineRule="atLeast"/>
      <w:jc w:val="both"/>
    </w:pPr>
    <w:rPr>
      <w:rFonts w:ascii="Times" w:hAnsi="Times"/>
      <w:sz w:val="24"/>
      <w:lang w:eastAsia="en-US"/>
    </w:rPr>
  </w:style>
  <w:style w:type="paragraph" w:customStyle="1" w:styleId="bullet2">
    <w:name w:val="bullet 2"/>
    <w:basedOn w:val="Normal"/>
    <w:semiHidden/>
    <w:rsid w:val="001260E7"/>
    <w:pPr>
      <w:tabs>
        <w:tab w:val="left" w:pos="717"/>
      </w:tabs>
      <w:spacing w:before="120" w:after="0"/>
      <w:ind w:left="717" w:hanging="360"/>
    </w:pPr>
    <w:rPr>
      <w:color w:val="000000"/>
      <w:sz w:val="26"/>
      <w:lang w:val="en-US"/>
    </w:rPr>
  </w:style>
  <w:style w:type="paragraph" w:styleId="ListBullet">
    <w:name w:val="List Bullet"/>
    <w:basedOn w:val="Normal"/>
    <w:semiHidden/>
    <w:rsid w:val="001260E7"/>
    <w:pPr>
      <w:widowControl w:val="0"/>
      <w:spacing w:after="220"/>
    </w:pPr>
    <w:rPr>
      <w:rFonts w:ascii="Times New Roman" w:hAnsi="Times New Roman"/>
    </w:rPr>
  </w:style>
  <w:style w:type="paragraph" w:styleId="FootnoteText">
    <w:name w:val="footnote text"/>
    <w:basedOn w:val="Normal"/>
    <w:link w:val="FootnoteTextChar"/>
    <w:semiHidden/>
    <w:rsid w:val="00F3111A"/>
    <w:rPr>
      <w:szCs w:val="20"/>
    </w:rPr>
  </w:style>
  <w:style w:type="character" w:customStyle="1" w:styleId="FootnoteTextChar">
    <w:name w:val="Footnote Text Char"/>
    <w:link w:val="FootnoteText"/>
    <w:semiHidden/>
    <w:locked/>
    <w:rPr>
      <w:rFonts w:ascii="Arial" w:hAnsi="Arial"/>
    </w:rPr>
  </w:style>
  <w:style w:type="character" w:styleId="FootnoteReference">
    <w:name w:val="footnote reference"/>
    <w:semiHidden/>
    <w:rsid w:val="001260E7"/>
    <w:rPr>
      <w:rFonts w:cs="Times New Roman"/>
      <w:vertAlign w:val="superscript"/>
    </w:rPr>
  </w:style>
  <w:style w:type="paragraph" w:customStyle="1" w:styleId="Bullet">
    <w:name w:val="Bullet"/>
    <w:basedOn w:val="Normal"/>
    <w:semiHidden/>
    <w:rsid w:val="001260E7"/>
    <w:pPr>
      <w:widowControl w:val="0"/>
      <w:tabs>
        <w:tab w:val="left" w:pos="567"/>
      </w:tabs>
      <w:spacing w:before="60" w:after="60"/>
      <w:ind w:left="567" w:hanging="567"/>
    </w:pPr>
    <w:rPr>
      <w:rFonts w:ascii="Times New Roman" w:hAnsi="Times New Roman"/>
      <w:sz w:val="24"/>
      <w:lang w:val="en-US"/>
    </w:rPr>
  </w:style>
  <w:style w:type="paragraph" w:customStyle="1" w:styleId="ParagraphText">
    <w:name w:val="Paragraph Text"/>
    <w:semiHidden/>
    <w:rsid w:val="001260E7"/>
    <w:pPr>
      <w:widowControl w:val="0"/>
      <w:jc w:val="both"/>
    </w:pPr>
    <w:rPr>
      <w:rFonts w:ascii="Arial" w:hAnsi="Arial"/>
      <w:sz w:val="18"/>
      <w:lang w:eastAsia="en-US"/>
    </w:rPr>
  </w:style>
  <w:style w:type="paragraph" w:styleId="EndnoteText">
    <w:name w:val="endnote text"/>
    <w:basedOn w:val="Normal"/>
    <w:link w:val="EndnoteTextChar1"/>
    <w:semiHidden/>
    <w:rsid w:val="00ED38ED"/>
    <w:rPr>
      <w:szCs w:val="20"/>
    </w:rPr>
  </w:style>
  <w:style w:type="character" w:customStyle="1" w:styleId="EndnoteTextChar1">
    <w:name w:val="Endnote Text Char1"/>
    <w:link w:val="EndnoteText"/>
    <w:semiHidden/>
    <w:locked/>
    <w:rsid w:val="00CA6125"/>
    <w:rPr>
      <w:rFonts w:ascii="Arial" w:eastAsia="Calibri" w:hAnsi="Arial"/>
      <w:lang w:val="en-AU" w:eastAsia="en-US" w:bidi="ar-SA"/>
    </w:rPr>
  </w:style>
  <w:style w:type="character" w:customStyle="1" w:styleId="EndnoteTextChar">
    <w:name w:val="Endnote Text Char"/>
    <w:semiHidden/>
    <w:locked/>
    <w:rsid w:val="00CA6125"/>
    <w:rPr>
      <w:rFonts w:ascii="Arial" w:hAnsi="Arial" w:cs="Times New Roman"/>
      <w:lang w:val="x-none" w:eastAsia="en-US"/>
    </w:rPr>
  </w:style>
  <w:style w:type="character" w:styleId="EndnoteReference">
    <w:name w:val="endnote reference"/>
    <w:semiHidden/>
    <w:rsid w:val="001260E7"/>
    <w:rPr>
      <w:rFonts w:cs="Times New Roman"/>
      <w:vertAlign w:val="superscript"/>
    </w:rPr>
  </w:style>
  <w:style w:type="paragraph" w:styleId="ListNumber2">
    <w:name w:val="List Number 2"/>
    <w:basedOn w:val="Normal"/>
    <w:semiHidden/>
    <w:rsid w:val="001260E7"/>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link w:val="BodyTextIndent3Char"/>
    <w:semiHidden/>
    <w:rsid w:val="001260E7"/>
    <w:pPr>
      <w:spacing w:after="0"/>
      <w:ind w:left="1418" w:hanging="851"/>
    </w:pPr>
    <w:rPr>
      <w:rFonts w:ascii="Times New Roman" w:hAnsi="Times New Roman"/>
      <w:lang w:val="en-US"/>
    </w:rPr>
  </w:style>
  <w:style w:type="character" w:customStyle="1" w:styleId="BodyTextIndent3Char">
    <w:name w:val="Body Text Indent 3 Char"/>
    <w:link w:val="BodyTextIndent3"/>
    <w:semiHidden/>
    <w:locked/>
    <w:rPr>
      <w:rFonts w:ascii="Arial" w:hAnsi="Arial" w:cs="Times New Roman"/>
      <w:sz w:val="16"/>
      <w:szCs w:val="16"/>
      <w:lang w:val="x-none" w:eastAsia="en-US"/>
    </w:rPr>
  </w:style>
  <w:style w:type="paragraph" w:styleId="TOC1">
    <w:name w:val="toc 1"/>
    <w:next w:val="ASDEFCONNormal"/>
    <w:autoRedefine/>
    <w:uiPriority w:val="39"/>
    <w:rsid w:val="00F3111A"/>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F3111A"/>
    <w:pPr>
      <w:spacing w:after="120"/>
      <w:jc w:val="both"/>
    </w:pPr>
    <w:rPr>
      <w:rFonts w:ascii="Arial" w:hAnsi="Arial"/>
      <w:color w:val="000000"/>
      <w:szCs w:val="40"/>
    </w:rPr>
  </w:style>
  <w:style w:type="character" w:customStyle="1" w:styleId="ASDEFCONNormalChar">
    <w:name w:val="ASDEFCON Normal Char"/>
    <w:link w:val="ASDEFCONNormal"/>
    <w:rsid w:val="00F3111A"/>
    <w:rPr>
      <w:rFonts w:ascii="Arial" w:hAnsi="Arial"/>
      <w:color w:val="000000"/>
      <w:szCs w:val="40"/>
    </w:rPr>
  </w:style>
  <w:style w:type="paragraph" w:styleId="TOC2">
    <w:name w:val="toc 2"/>
    <w:next w:val="ASDEFCONNormal"/>
    <w:autoRedefine/>
    <w:uiPriority w:val="39"/>
    <w:rsid w:val="00F3111A"/>
    <w:pPr>
      <w:spacing w:after="60"/>
      <w:ind w:left="1417" w:hanging="850"/>
    </w:pPr>
    <w:rPr>
      <w:rFonts w:ascii="Arial" w:hAnsi="Arial" w:cs="Arial"/>
      <w:szCs w:val="24"/>
    </w:rPr>
  </w:style>
  <w:style w:type="paragraph" w:styleId="TOC3">
    <w:name w:val="toc 3"/>
    <w:basedOn w:val="Normal"/>
    <w:next w:val="Normal"/>
    <w:autoRedefine/>
    <w:rsid w:val="00F3111A"/>
    <w:pPr>
      <w:spacing w:after="100"/>
      <w:ind w:left="400"/>
    </w:pPr>
  </w:style>
  <w:style w:type="paragraph" w:styleId="TOC4">
    <w:name w:val="toc 4"/>
    <w:basedOn w:val="Normal"/>
    <w:next w:val="Normal"/>
    <w:autoRedefine/>
    <w:rsid w:val="00F3111A"/>
    <w:pPr>
      <w:spacing w:after="100"/>
      <w:ind w:left="600"/>
    </w:pPr>
  </w:style>
  <w:style w:type="paragraph" w:styleId="TOC5">
    <w:name w:val="toc 5"/>
    <w:basedOn w:val="Normal"/>
    <w:next w:val="Normal"/>
    <w:autoRedefine/>
    <w:rsid w:val="00F3111A"/>
    <w:pPr>
      <w:spacing w:after="100"/>
      <w:ind w:left="800"/>
    </w:pPr>
  </w:style>
  <w:style w:type="paragraph" w:styleId="TOC6">
    <w:name w:val="toc 6"/>
    <w:basedOn w:val="Normal"/>
    <w:next w:val="Normal"/>
    <w:autoRedefine/>
    <w:rsid w:val="00F3111A"/>
    <w:pPr>
      <w:spacing w:after="100"/>
      <w:ind w:left="1000"/>
    </w:pPr>
  </w:style>
  <w:style w:type="paragraph" w:styleId="TOC7">
    <w:name w:val="toc 7"/>
    <w:basedOn w:val="Normal"/>
    <w:next w:val="Normal"/>
    <w:autoRedefine/>
    <w:rsid w:val="00F3111A"/>
    <w:pPr>
      <w:spacing w:after="100"/>
      <w:ind w:left="1200"/>
    </w:pPr>
  </w:style>
  <w:style w:type="paragraph" w:styleId="TOC8">
    <w:name w:val="toc 8"/>
    <w:basedOn w:val="Normal"/>
    <w:next w:val="Normal"/>
    <w:autoRedefine/>
    <w:rsid w:val="00F3111A"/>
    <w:pPr>
      <w:spacing w:after="100"/>
      <w:ind w:left="1400"/>
    </w:pPr>
  </w:style>
  <w:style w:type="paragraph" w:styleId="TOC9">
    <w:name w:val="toc 9"/>
    <w:basedOn w:val="Normal"/>
    <w:next w:val="Normal"/>
    <w:autoRedefine/>
    <w:rsid w:val="00F3111A"/>
    <w:pPr>
      <w:spacing w:after="100"/>
      <w:ind w:left="1600"/>
    </w:pPr>
  </w:style>
  <w:style w:type="paragraph" w:customStyle="1" w:styleId="Indent2">
    <w:name w:val="Indent 2"/>
    <w:basedOn w:val="Heading2"/>
    <w:semiHidden/>
    <w:rsid w:val="009244CF"/>
    <w:pPr>
      <w:tabs>
        <w:tab w:val="left" w:pos="360"/>
      </w:tabs>
      <w:ind w:left="737"/>
      <w:outlineLvl w:val="9"/>
    </w:pPr>
  </w:style>
  <w:style w:type="paragraph" w:styleId="BodyTextIndent">
    <w:name w:val="Body Text Indent"/>
    <w:basedOn w:val="Normal"/>
    <w:link w:val="BodyTextIndentChar"/>
    <w:semiHidden/>
    <w:rsid w:val="001260E7"/>
    <w:pPr>
      <w:ind w:left="851"/>
    </w:pPr>
    <w:rPr>
      <w:b/>
    </w:rPr>
  </w:style>
  <w:style w:type="character" w:customStyle="1" w:styleId="BodyTextIndentChar">
    <w:name w:val="Body Text Indent Char"/>
    <w:link w:val="BodyTextIndent"/>
    <w:semiHidden/>
    <w:locked/>
    <w:rPr>
      <w:rFonts w:ascii="Arial" w:hAnsi="Arial" w:cs="Times New Roman"/>
      <w:sz w:val="20"/>
      <w:lang w:val="x-none" w:eastAsia="en-US"/>
    </w:rPr>
  </w:style>
  <w:style w:type="paragraph" w:customStyle="1" w:styleId="spara">
    <w:name w:val="spara"/>
    <w:next w:val="Normal"/>
    <w:semiHidden/>
    <w:rsid w:val="001260E7"/>
    <w:pPr>
      <w:numPr>
        <w:ilvl w:val="2"/>
        <w:numId w:val="1"/>
      </w:numPr>
      <w:spacing w:after="120"/>
    </w:pPr>
    <w:rPr>
      <w:rFonts w:ascii="Arial" w:hAnsi="Arial"/>
      <w:noProof/>
      <w:lang w:eastAsia="en-US"/>
    </w:rPr>
  </w:style>
  <w:style w:type="paragraph" w:customStyle="1" w:styleId="Note">
    <w:name w:val="Note"/>
    <w:basedOn w:val="PlainText"/>
    <w:semiHidden/>
    <w:rsid w:val="001260E7"/>
    <w:pPr>
      <w:keepNext/>
      <w:tabs>
        <w:tab w:val="left" w:pos="851"/>
      </w:tabs>
    </w:pPr>
    <w:rPr>
      <w:rFonts w:ascii="Arial" w:hAnsi="Arial"/>
      <w:b/>
      <w:i/>
    </w:rPr>
  </w:style>
  <w:style w:type="paragraph" w:styleId="PlainText">
    <w:name w:val="Plain Text"/>
    <w:basedOn w:val="Normal"/>
    <w:link w:val="PlainTextChar"/>
    <w:semiHidden/>
    <w:rsid w:val="001260E7"/>
    <w:rPr>
      <w:rFonts w:ascii="Courier New" w:hAnsi="Courier New"/>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customStyle="1" w:styleId="TextLevel2">
    <w:name w:val="Text Level 2"/>
    <w:basedOn w:val="Normal"/>
    <w:semiHidden/>
    <w:rsid w:val="001260E7"/>
    <w:pPr>
      <w:numPr>
        <w:ilvl w:val="1"/>
        <w:numId w:val="3"/>
      </w:numPr>
    </w:pPr>
    <w:rPr>
      <w:lang w:val="en-US"/>
    </w:rPr>
  </w:style>
  <w:style w:type="paragraph" w:customStyle="1" w:styleId="NotetoDrafters">
    <w:name w:val="Note to Drafters"/>
    <w:basedOn w:val="Normal"/>
    <w:next w:val="Normal"/>
    <w:semiHidden/>
    <w:rsid w:val="001260E7"/>
    <w:pPr>
      <w:shd w:val="clear" w:color="auto" w:fill="000000"/>
      <w:spacing w:after="0"/>
    </w:pPr>
    <w:rPr>
      <w:b/>
      <w:i/>
    </w:rPr>
  </w:style>
  <w:style w:type="paragraph" w:customStyle="1" w:styleId="Notetotenderers">
    <w:name w:val="Note to tenderers"/>
    <w:basedOn w:val="Normal"/>
    <w:next w:val="Normal"/>
    <w:semiHidden/>
    <w:rsid w:val="001260E7"/>
    <w:pPr>
      <w:shd w:val="pct20" w:color="auto" w:fill="FFFFFF"/>
      <w:spacing w:after="0"/>
    </w:pPr>
    <w:rPr>
      <w:b/>
      <w:i/>
      <w:lang w:val="en-US"/>
    </w:rPr>
  </w:style>
  <w:style w:type="paragraph" w:customStyle="1" w:styleId="Notetodrafters0">
    <w:name w:val="Note to drafters"/>
    <w:basedOn w:val="Normal"/>
    <w:semiHidden/>
    <w:rsid w:val="001260E7"/>
    <w:pPr>
      <w:shd w:val="clear" w:color="auto" w:fill="000000"/>
    </w:pPr>
    <w:rPr>
      <w:b/>
      <w:i/>
      <w:lang w:val="en-US"/>
    </w:rPr>
  </w:style>
  <w:style w:type="paragraph" w:customStyle="1" w:styleId="Option">
    <w:name w:val="Option"/>
    <w:basedOn w:val="Normal"/>
    <w:next w:val="Normal"/>
    <w:semiHidden/>
    <w:rsid w:val="001260E7"/>
    <w:pPr>
      <w:spacing w:before="120"/>
    </w:pPr>
    <w:rPr>
      <w:b/>
      <w:i/>
    </w:rPr>
  </w:style>
  <w:style w:type="paragraph" w:customStyle="1" w:styleId="NotetoTenderers0">
    <w:name w:val="Note to Tenderers"/>
    <w:basedOn w:val="Normal"/>
    <w:next w:val="Normal"/>
    <w:rsid w:val="00CA6125"/>
    <w:pPr>
      <w:shd w:val="pct15" w:color="auto" w:fill="FFFFFF"/>
      <w:spacing w:before="120"/>
    </w:pPr>
    <w:rPr>
      <w:b/>
      <w:i/>
    </w:rPr>
  </w:style>
  <w:style w:type="paragraph" w:customStyle="1" w:styleId="AttachmentHeading">
    <w:name w:val="Attachment Heading"/>
    <w:basedOn w:val="Normal"/>
    <w:semiHidden/>
    <w:rsid w:val="001260E7"/>
    <w:pPr>
      <w:spacing w:after="0"/>
      <w:jc w:val="center"/>
    </w:pPr>
    <w:rPr>
      <w:b/>
      <w:caps/>
      <w:lang w:val="en-US"/>
    </w:rPr>
  </w:style>
  <w:style w:type="paragraph" w:customStyle="1" w:styleId="FigureCaption">
    <w:name w:val="Figure Caption"/>
    <w:basedOn w:val="Normal"/>
    <w:semiHidden/>
    <w:rsid w:val="001260E7"/>
    <w:pPr>
      <w:spacing w:after="0"/>
      <w:jc w:val="center"/>
    </w:pPr>
    <w:rPr>
      <w:rFonts w:ascii="Times New Roman" w:hAnsi="Times New Roman"/>
      <w:b/>
      <w:lang w:val="en-US"/>
    </w:rPr>
  </w:style>
  <w:style w:type="paragraph" w:customStyle="1" w:styleId="sspara">
    <w:name w:val="sspara"/>
    <w:next w:val="Normal"/>
    <w:semiHidden/>
    <w:rsid w:val="001260E7"/>
    <w:pPr>
      <w:tabs>
        <w:tab w:val="num" w:pos="864"/>
      </w:tabs>
      <w:spacing w:after="120"/>
      <w:ind w:left="864" w:hanging="864"/>
    </w:pPr>
    <w:rPr>
      <w:rFonts w:ascii="Arial" w:hAnsi="Arial"/>
      <w:noProof/>
      <w:lang w:eastAsia="en-US"/>
    </w:rPr>
  </w:style>
  <w:style w:type="paragraph" w:customStyle="1" w:styleId="TitleChapter">
    <w:name w:val="TitleChapter"/>
    <w:next w:val="TextLevel2"/>
    <w:semiHidden/>
    <w:rsid w:val="001260E7"/>
    <w:pPr>
      <w:spacing w:before="240" w:after="120"/>
      <w:jc w:val="center"/>
    </w:pPr>
    <w:rPr>
      <w:rFonts w:ascii="Arial" w:hAnsi="Arial"/>
      <w:b/>
      <w:caps/>
      <w:noProof/>
      <w:lang w:eastAsia="en-US"/>
    </w:rPr>
  </w:style>
  <w:style w:type="paragraph" w:customStyle="1" w:styleId="Attachments">
    <w:name w:val="Attachments"/>
    <w:next w:val="Normal"/>
    <w:semiHidden/>
    <w:rsid w:val="001260E7"/>
    <w:pPr>
      <w:numPr>
        <w:numId w:val="2"/>
      </w:numPr>
    </w:pPr>
    <w:rPr>
      <w:rFonts w:ascii="Arial" w:hAnsi="Arial"/>
      <w:noProof/>
      <w:lang w:eastAsia="en-US"/>
    </w:rPr>
  </w:style>
  <w:style w:type="table" w:styleId="TableGrid">
    <w:name w:val="Table Grid"/>
    <w:basedOn w:val="TableNormal"/>
    <w:uiPriority w:val="59"/>
    <w:rsid w:val="00ED38E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ED38ED"/>
    <w:pPr>
      <w:numPr>
        <w:ilvl w:val="0"/>
        <w:numId w:val="0"/>
      </w:numPr>
    </w:pPr>
    <w:rPr>
      <w:b w:val="0"/>
    </w:rPr>
  </w:style>
  <w:style w:type="paragraph" w:styleId="CommentSubject">
    <w:name w:val="annotation subject"/>
    <w:basedOn w:val="CommentText"/>
    <w:next w:val="CommentText"/>
    <w:link w:val="CommentSubjectChar1"/>
    <w:semiHidden/>
    <w:rsid w:val="00CA6125"/>
    <w:rPr>
      <w:b/>
    </w:rPr>
  </w:style>
  <w:style w:type="character" w:customStyle="1" w:styleId="CommentSubjectChar1">
    <w:name w:val="Comment Subject Char1"/>
    <w:link w:val="CommentSubject"/>
    <w:semiHidden/>
    <w:locked/>
    <w:rsid w:val="00CA6125"/>
    <w:rPr>
      <w:rFonts w:ascii="Arial" w:hAnsi="Arial"/>
      <w:b/>
      <w:sz w:val="22"/>
      <w:lang w:val="x-none" w:eastAsia="en-US"/>
    </w:rPr>
  </w:style>
  <w:style w:type="character" w:customStyle="1" w:styleId="CommentSubjectChar">
    <w:name w:val="Comment Subject Char"/>
    <w:semiHidden/>
    <w:locked/>
    <w:rsid w:val="00CA6125"/>
    <w:rPr>
      <w:rFonts w:ascii="Arial" w:hAnsi="Arial" w:cs="Times New Roman"/>
      <w:b/>
      <w:lang w:val="x-none" w:eastAsia="en-US"/>
    </w:rPr>
  </w:style>
  <w:style w:type="paragraph" w:styleId="BalloonText">
    <w:name w:val="Balloon Text"/>
    <w:basedOn w:val="Normal"/>
    <w:link w:val="BalloonTextChar"/>
    <w:autoRedefine/>
    <w:rsid w:val="00850B28"/>
    <w:rPr>
      <w:sz w:val="18"/>
      <w:szCs w:val="20"/>
    </w:rPr>
  </w:style>
  <w:style w:type="character" w:customStyle="1" w:styleId="BalloonTextChar1">
    <w:name w:val="Balloon Text Char1"/>
    <w:semiHidden/>
    <w:locked/>
    <w:rsid w:val="00CA6125"/>
    <w:rPr>
      <w:rFonts w:ascii="Tahoma" w:hAnsi="Tahoma"/>
      <w:sz w:val="16"/>
      <w:lang w:val="x-none" w:eastAsia="en-US"/>
    </w:rPr>
  </w:style>
  <w:style w:type="character" w:customStyle="1" w:styleId="BalloonTextChar">
    <w:name w:val="Balloon Text Char"/>
    <w:link w:val="BalloonText"/>
    <w:locked/>
    <w:rsid w:val="00850B28"/>
    <w:rPr>
      <w:rFonts w:ascii="Arial" w:hAnsi="Arial"/>
      <w:sz w:val="18"/>
    </w:rPr>
  </w:style>
  <w:style w:type="paragraph" w:styleId="Caption">
    <w:name w:val="caption"/>
    <w:basedOn w:val="Normal"/>
    <w:next w:val="Normal"/>
    <w:qFormat/>
    <w:rsid w:val="00F3111A"/>
    <w:rPr>
      <w:b/>
      <w:bCs/>
      <w:szCs w:val="20"/>
    </w:rPr>
  </w:style>
  <w:style w:type="paragraph" w:customStyle="1" w:styleId="TextLevel3">
    <w:name w:val="Text Level 3"/>
    <w:next w:val="Normal"/>
    <w:link w:val="TextLevel3Char"/>
    <w:rsid w:val="00567D53"/>
    <w:pPr>
      <w:widowControl w:val="0"/>
      <w:tabs>
        <w:tab w:val="num" w:pos="907"/>
        <w:tab w:val="left" w:pos="1814"/>
      </w:tabs>
      <w:suppressAutoHyphens/>
      <w:spacing w:before="120" w:after="120"/>
      <w:ind w:left="907" w:hanging="907"/>
      <w:jc w:val="both"/>
    </w:pPr>
    <w:rPr>
      <w:rFonts w:ascii="Arial" w:hAnsi="Arial"/>
      <w:sz w:val="22"/>
      <w:szCs w:val="22"/>
      <w:lang w:val="en-GB" w:eastAsia="ar-SA"/>
    </w:rPr>
  </w:style>
  <w:style w:type="character" w:customStyle="1" w:styleId="TextLevel3Char">
    <w:name w:val="Text Level 3 Char"/>
    <w:link w:val="TextLevel3"/>
    <w:locked/>
    <w:rsid w:val="00567D53"/>
    <w:rPr>
      <w:rFonts w:ascii="Arial" w:hAnsi="Arial"/>
      <w:sz w:val="22"/>
      <w:lang w:val="en-GB" w:eastAsia="ar-SA" w:bidi="ar-SA"/>
    </w:rPr>
  </w:style>
  <w:style w:type="paragraph" w:customStyle="1" w:styleId="Default">
    <w:name w:val="Default"/>
    <w:rsid w:val="00FD7351"/>
    <w:pPr>
      <w:autoSpaceDE w:val="0"/>
      <w:autoSpaceDN w:val="0"/>
      <w:adjustRightInd w:val="0"/>
    </w:pPr>
    <w:rPr>
      <w:rFonts w:ascii="Arial" w:eastAsia="SimSun" w:hAnsi="Arial" w:cs="Arial"/>
      <w:color w:val="000000"/>
      <w:sz w:val="24"/>
      <w:szCs w:val="24"/>
      <w:lang w:eastAsia="zh-CN"/>
    </w:rPr>
  </w:style>
  <w:style w:type="paragraph" w:styleId="Revision">
    <w:name w:val="Revision"/>
    <w:hidden/>
    <w:semiHidden/>
    <w:rsid w:val="00D95B91"/>
    <w:rPr>
      <w:rFonts w:ascii="Arial" w:hAnsi="Arial"/>
      <w:szCs w:val="22"/>
      <w:lang w:eastAsia="en-US"/>
    </w:rPr>
  </w:style>
  <w:style w:type="paragraph" w:customStyle="1" w:styleId="NoteToDrafters1">
    <w:name w:val="Note To Drafters"/>
    <w:basedOn w:val="Normal"/>
    <w:next w:val="Normal"/>
    <w:autoRedefine/>
    <w:semiHidden/>
    <w:rsid w:val="00CA6125"/>
    <w:pPr>
      <w:keepNext/>
      <w:shd w:val="clear" w:color="auto" w:fill="000000"/>
      <w:spacing w:before="120"/>
    </w:pPr>
    <w:rPr>
      <w:b/>
      <w:i/>
    </w:rPr>
  </w:style>
  <w:style w:type="paragraph" w:customStyle="1" w:styleId="Options">
    <w:name w:val="Options"/>
    <w:basedOn w:val="Normal"/>
    <w:next w:val="Normal"/>
    <w:semiHidden/>
    <w:rsid w:val="00CA6125"/>
    <w:pPr>
      <w:widowControl w:val="0"/>
    </w:pPr>
    <w:rPr>
      <w:b/>
      <w:i/>
    </w:rPr>
  </w:style>
  <w:style w:type="paragraph" w:customStyle="1" w:styleId="subpara">
    <w:name w:val="sub para"/>
    <w:basedOn w:val="Normal"/>
    <w:semiHidden/>
    <w:rsid w:val="00CA6125"/>
    <w:pPr>
      <w:tabs>
        <w:tab w:val="num" w:pos="1134"/>
        <w:tab w:val="left" w:pos="1418"/>
      </w:tabs>
      <w:ind w:left="1134" w:hanging="567"/>
    </w:pPr>
  </w:style>
  <w:style w:type="paragraph" w:customStyle="1" w:styleId="subsubpara">
    <w:name w:val="sub sub para"/>
    <w:basedOn w:val="Normal"/>
    <w:autoRedefine/>
    <w:semiHidden/>
    <w:rsid w:val="00CA6125"/>
    <w:pPr>
      <w:tabs>
        <w:tab w:val="left" w:pos="1985"/>
        <w:tab w:val="num" w:pos="2138"/>
      </w:tabs>
      <w:ind w:left="1985" w:hanging="567"/>
    </w:pPr>
  </w:style>
  <w:style w:type="paragraph" w:customStyle="1" w:styleId="TitleCase">
    <w:name w:val="Title Case"/>
    <w:basedOn w:val="Normal"/>
    <w:next w:val="Normal"/>
    <w:semiHidden/>
    <w:rsid w:val="00CA6125"/>
    <w:rPr>
      <w:b/>
      <w:caps/>
    </w:rPr>
  </w:style>
  <w:style w:type="paragraph" w:customStyle="1" w:styleId="Recitals">
    <w:name w:val="Recitals"/>
    <w:basedOn w:val="Normal"/>
    <w:semiHidden/>
    <w:rsid w:val="00CA6125"/>
    <w:pPr>
      <w:tabs>
        <w:tab w:val="left" w:pos="851"/>
        <w:tab w:val="num" w:pos="1134"/>
      </w:tabs>
    </w:pPr>
  </w:style>
  <w:style w:type="paragraph" w:customStyle="1" w:styleId="NormalIndent1">
    <w:name w:val="Normal Indent1"/>
    <w:basedOn w:val="Normal"/>
    <w:autoRedefine/>
    <w:semiHidden/>
    <w:rsid w:val="00CA6125"/>
    <w:pPr>
      <w:keepNext/>
      <w:ind w:left="851"/>
    </w:pPr>
  </w:style>
  <w:style w:type="paragraph" w:customStyle="1" w:styleId="TablePara">
    <w:name w:val="Table Para"/>
    <w:autoRedefine/>
    <w:semiHidden/>
    <w:rsid w:val="00CA6125"/>
    <w:pPr>
      <w:numPr>
        <w:numId w:val="7"/>
      </w:numPr>
      <w:spacing w:before="120" w:after="120"/>
      <w:jc w:val="both"/>
    </w:pPr>
    <w:rPr>
      <w:rFonts w:ascii="Arial" w:hAnsi="Arial"/>
      <w:noProof/>
      <w:lang w:val="en-US" w:eastAsia="en-US"/>
    </w:rPr>
  </w:style>
  <w:style w:type="paragraph" w:customStyle="1" w:styleId="TableStyle">
    <w:name w:val="Table Style"/>
    <w:basedOn w:val="Normal"/>
    <w:autoRedefine/>
    <w:semiHidden/>
    <w:rsid w:val="00CA6125"/>
  </w:style>
  <w:style w:type="paragraph" w:customStyle="1" w:styleId="TableSubpara">
    <w:name w:val="Table Subpara"/>
    <w:autoRedefine/>
    <w:semiHidden/>
    <w:rsid w:val="00CA6125"/>
    <w:pPr>
      <w:spacing w:before="120" w:after="120"/>
      <w:ind w:left="568" w:hanging="568"/>
      <w:jc w:val="both"/>
    </w:pPr>
    <w:rPr>
      <w:rFonts w:ascii="Arial" w:hAnsi="Arial"/>
      <w:noProof/>
      <w:lang w:val="en-US" w:eastAsia="en-US"/>
    </w:rPr>
  </w:style>
  <w:style w:type="paragraph" w:customStyle="1" w:styleId="Indentlist">
    <w:name w:val="Indent list"/>
    <w:basedOn w:val="Normal"/>
    <w:rsid w:val="00CA6125"/>
    <w:pPr>
      <w:numPr>
        <w:numId w:val="8"/>
      </w:numPr>
      <w:tabs>
        <w:tab w:val="left" w:pos="1701"/>
      </w:tabs>
    </w:pPr>
  </w:style>
  <w:style w:type="paragraph" w:customStyle="1" w:styleId="Level11fo">
    <w:name w:val="Level 1.1fo"/>
    <w:basedOn w:val="Normal"/>
    <w:rsid w:val="00CA6125"/>
    <w:pPr>
      <w:spacing w:before="200" w:after="0" w:line="240" w:lineRule="atLeast"/>
      <w:ind w:left="720"/>
    </w:pPr>
    <w:rPr>
      <w:rFonts w:eastAsia="SimSun"/>
      <w:szCs w:val="20"/>
      <w:lang w:eastAsia="zh-CN"/>
    </w:rPr>
  </w:style>
  <w:style w:type="character" w:customStyle="1" w:styleId="SC430">
    <w:name w:val="SC430"/>
    <w:rsid w:val="00CA6125"/>
    <w:rPr>
      <w:color w:val="000000"/>
      <w:sz w:val="20"/>
    </w:rPr>
  </w:style>
  <w:style w:type="character" w:customStyle="1" w:styleId="Heading2Char1">
    <w:name w:val="Heading 2 Char1"/>
    <w:aliases w:val="h2 Char1,Para2 Char1,Head hdbk Char1,Top 2 Char1,H2 Char1,h2 main heading Char1,B Sub/Bold Char1,B Sub/Bold1 Char1,B Sub/Bold2 Char1,B Sub/Bold11 Char1,h2 main heading1 Char1,h2 main heading2 Char1,B Sub/Bold3 Char1,B Sub/Bold12 Char1"/>
    <w:locked/>
    <w:rsid w:val="00CA6125"/>
    <w:rPr>
      <w:b/>
      <w:bCs/>
      <w:sz w:val="26"/>
      <w:szCs w:val="26"/>
      <w:lang w:val="en-AU" w:eastAsia="en-US" w:bidi="ar-SA"/>
    </w:rPr>
  </w:style>
  <w:style w:type="character" w:styleId="Emphasis">
    <w:name w:val="Emphasis"/>
    <w:qFormat/>
    <w:rsid w:val="00CA6125"/>
    <w:rPr>
      <w:rFonts w:cs="Times New Roman"/>
      <w:i/>
    </w:rPr>
  </w:style>
  <w:style w:type="character" w:customStyle="1" w:styleId="ArialBold10">
    <w:name w:val="ArialBold10"/>
    <w:rsid w:val="00CA6125"/>
    <w:rPr>
      <w:rFonts w:ascii="Arial" w:hAnsi="Arial"/>
      <w:b/>
      <w:sz w:val="20"/>
    </w:rPr>
  </w:style>
  <w:style w:type="character" w:customStyle="1" w:styleId="CommentTextChar2">
    <w:name w:val="Comment Text Char2"/>
    <w:semiHidden/>
    <w:rsid w:val="00C650ED"/>
    <w:rPr>
      <w:rFonts w:ascii="Arial" w:hAnsi="Arial"/>
      <w:sz w:val="22"/>
      <w:lang w:val="en-AU" w:eastAsia="en-US"/>
    </w:rPr>
  </w:style>
  <w:style w:type="paragraph" w:customStyle="1" w:styleId="COTCOCLV2-ASDEFCON">
    <w:name w:val="COT/COC LV2 - ASDEFCON"/>
    <w:basedOn w:val="ASDEFCONNormal"/>
    <w:next w:val="COTCOCLV3-ASDEFCON"/>
    <w:rsid w:val="00F3111A"/>
    <w:pPr>
      <w:keepNext/>
      <w:keepLines/>
      <w:numPr>
        <w:ilvl w:val="1"/>
        <w:numId w:val="9"/>
      </w:numPr>
      <w:pBdr>
        <w:bottom w:val="single" w:sz="4" w:space="1" w:color="auto"/>
      </w:pBdr>
    </w:pPr>
    <w:rPr>
      <w:b/>
    </w:rPr>
  </w:style>
  <w:style w:type="paragraph" w:customStyle="1" w:styleId="COTCOCLV3-ASDEFCON">
    <w:name w:val="COT/COC LV3 - ASDEFCON"/>
    <w:basedOn w:val="ASDEFCONNormal"/>
    <w:rsid w:val="00F3111A"/>
    <w:pPr>
      <w:numPr>
        <w:ilvl w:val="2"/>
        <w:numId w:val="9"/>
      </w:numPr>
    </w:pPr>
  </w:style>
  <w:style w:type="paragraph" w:customStyle="1" w:styleId="COTCOCLV1-ASDEFCON">
    <w:name w:val="COT/COC LV1 - ASDEFCON"/>
    <w:basedOn w:val="ASDEFCONNormal"/>
    <w:next w:val="COTCOCLV2-ASDEFCON"/>
    <w:rsid w:val="00F3111A"/>
    <w:pPr>
      <w:keepNext/>
      <w:keepLines/>
      <w:numPr>
        <w:numId w:val="9"/>
      </w:numPr>
      <w:spacing w:before="240"/>
    </w:pPr>
    <w:rPr>
      <w:b/>
      <w:caps/>
    </w:rPr>
  </w:style>
  <w:style w:type="paragraph" w:customStyle="1" w:styleId="COTCOCLV4-ASDEFCON">
    <w:name w:val="COT/COC LV4 - ASDEFCON"/>
    <w:basedOn w:val="ASDEFCONNormal"/>
    <w:rsid w:val="00F3111A"/>
    <w:pPr>
      <w:numPr>
        <w:ilvl w:val="3"/>
        <w:numId w:val="9"/>
      </w:numPr>
    </w:pPr>
  </w:style>
  <w:style w:type="paragraph" w:customStyle="1" w:styleId="COTCOCLV5-ASDEFCON">
    <w:name w:val="COT/COC LV5 - ASDEFCON"/>
    <w:basedOn w:val="ASDEFCONNormal"/>
    <w:rsid w:val="00F3111A"/>
    <w:pPr>
      <w:numPr>
        <w:ilvl w:val="4"/>
        <w:numId w:val="9"/>
      </w:numPr>
    </w:pPr>
  </w:style>
  <w:style w:type="paragraph" w:customStyle="1" w:styleId="COTCOCLV6-ASDEFCON">
    <w:name w:val="COT/COC LV6 - ASDEFCON"/>
    <w:basedOn w:val="ASDEFCONNormal"/>
    <w:rsid w:val="00F3111A"/>
    <w:pPr>
      <w:keepLines/>
      <w:numPr>
        <w:ilvl w:val="5"/>
        <w:numId w:val="9"/>
      </w:numPr>
    </w:pPr>
  </w:style>
  <w:style w:type="paragraph" w:customStyle="1" w:styleId="ASDEFCONOption">
    <w:name w:val="ASDEFCON Option"/>
    <w:basedOn w:val="ASDEFCONNormal"/>
    <w:rsid w:val="00F3111A"/>
    <w:pPr>
      <w:keepNext/>
      <w:spacing w:before="60"/>
    </w:pPr>
    <w:rPr>
      <w:b/>
      <w:i/>
      <w:szCs w:val="24"/>
    </w:rPr>
  </w:style>
  <w:style w:type="paragraph" w:customStyle="1" w:styleId="NoteToDrafters-ASDEFCON">
    <w:name w:val="Note To Drafters - ASDEFCON"/>
    <w:basedOn w:val="ASDEFCONNormal"/>
    <w:rsid w:val="00F3111A"/>
    <w:pPr>
      <w:keepNext/>
      <w:shd w:val="clear" w:color="auto" w:fill="000000"/>
    </w:pPr>
    <w:rPr>
      <w:b/>
      <w:i/>
      <w:color w:val="FFFFFF"/>
    </w:rPr>
  </w:style>
  <w:style w:type="paragraph" w:customStyle="1" w:styleId="NoteToTenderers-ASDEFCON">
    <w:name w:val="Note To Tenderers - ASDEFCON"/>
    <w:basedOn w:val="ASDEFCONNormal"/>
    <w:rsid w:val="00F3111A"/>
    <w:pPr>
      <w:keepNext/>
      <w:shd w:val="pct15" w:color="auto" w:fill="auto"/>
    </w:pPr>
    <w:rPr>
      <w:b/>
      <w:i/>
    </w:rPr>
  </w:style>
  <w:style w:type="paragraph" w:customStyle="1" w:styleId="ASDEFCONTitle">
    <w:name w:val="ASDEFCON Title"/>
    <w:basedOn w:val="ASDEFCONNormal"/>
    <w:rsid w:val="00F3111A"/>
    <w:pPr>
      <w:keepLines/>
      <w:spacing w:before="240"/>
      <w:jc w:val="center"/>
    </w:pPr>
    <w:rPr>
      <w:b/>
      <w:caps/>
    </w:rPr>
  </w:style>
  <w:style w:type="paragraph" w:customStyle="1" w:styleId="ATTANNLV1-ASDEFCON">
    <w:name w:val="ATT/ANN LV1 - ASDEFCON"/>
    <w:basedOn w:val="ASDEFCONNormal"/>
    <w:next w:val="ATTANNLV2-ASDEFCON"/>
    <w:rsid w:val="00F3111A"/>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3111A"/>
    <w:pPr>
      <w:numPr>
        <w:ilvl w:val="1"/>
        <w:numId w:val="37"/>
      </w:numPr>
    </w:pPr>
    <w:rPr>
      <w:szCs w:val="24"/>
    </w:rPr>
  </w:style>
  <w:style w:type="character" w:customStyle="1" w:styleId="ATTANNLV2-ASDEFCONChar">
    <w:name w:val="ATT/ANN LV2 - ASDEFCON Char"/>
    <w:link w:val="ATTANNLV2-ASDEFCON"/>
    <w:rsid w:val="00F3111A"/>
    <w:rPr>
      <w:rFonts w:ascii="Arial" w:hAnsi="Arial"/>
      <w:color w:val="000000"/>
      <w:szCs w:val="24"/>
    </w:rPr>
  </w:style>
  <w:style w:type="paragraph" w:customStyle="1" w:styleId="ATTANNLV3-ASDEFCON">
    <w:name w:val="ATT/ANN LV3 - ASDEFCON"/>
    <w:basedOn w:val="ASDEFCONNormal"/>
    <w:rsid w:val="00F3111A"/>
    <w:pPr>
      <w:numPr>
        <w:ilvl w:val="2"/>
        <w:numId w:val="37"/>
      </w:numPr>
    </w:pPr>
    <w:rPr>
      <w:szCs w:val="24"/>
    </w:rPr>
  </w:style>
  <w:style w:type="paragraph" w:customStyle="1" w:styleId="ATTANNLV4-ASDEFCON">
    <w:name w:val="ATT/ANN LV4 - ASDEFCON"/>
    <w:basedOn w:val="ASDEFCONNormal"/>
    <w:rsid w:val="00F3111A"/>
    <w:pPr>
      <w:numPr>
        <w:ilvl w:val="3"/>
        <w:numId w:val="37"/>
      </w:numPr>
    </w:pPr>
    <w:rPr>
      <w:szCs w:val="24"/>
    </w:rPr>
  </w:style>
  <w:style w:type="paragraph" w:customStyle="1" w:styleId="ASDEFCONCoverTitle">
    <w:name w:val="ASDEFCON Cover Title"/>
    <w:rsid w:val="00F3111A"/>
    <w:pPr>
      <w:jc w:val="center"/>
    </w:pPr>
    <w:rPr>
      <w:rFonts w:ascii="Georgia" w:hAnsi="Georgia"/>
      <w:b/>
      <w:color w:val="000000"/>
      <w:sz w:val="100"/>
      <w:szCs w:val="24"/>
    </w:rPr>
  </w:style>
  <w:style w:type="paragraph" w:customStyle="1" w:styleId="ASDEFCONHeaderFooterLeft">
    <w:name w:val="ASDEFCON Header/Footer Left"/>
    <w:basedOn w:val="ASDEFCONNormal"/>
    <w:rsid w:val="00F3111A"/>
    <w:pPr>
      <w:spacing w:after="0"/>
      <w:jc w:val="left"/>
    </w:pPr>
    <w:rPr>
      <w:sz w:val="16"/>
      <w:szCs w:val="24"/>
    </w:rPr>
  </w:style>
  <w:style w:type="paragraph" w:customStyle="1" w:styleId="ASDEFCONCoverPageIncorp">
    <w:name w:val="ASDEFCON Cover Page Incorp"/>
    <w:rsid w:val="00F3111A"/>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3111A"/>
    <w:rPr>
      <w:b/>
      <w:i/>
    </w:rPr>
  </w:style>
  <w:style w:type="paragraph" w:customStyle="1" w:styleId="COTCOCLV2NONUM-ASDEFCON">
    <w:name w:val="COT/COC LV2 NONUM - ASDEFCON"/>
    <w:basedOn w:val="COTCOCLV2-ASDEFCON"/>
    <w:next w:val="COTCOCLV3-ASDEFCON"/>
    <w:rsid w:val="00F3111A"/>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3111A"/>
    <w:pPr>
      <w:keepNext w:val="0"/>
      <w:numPr>
        <w:numId w:val="0"/>
      </w:numPr>
      <w:ind w:left="851"/>
    </w:pPr>
    <w:rPr>
      <w:bCs/>
      <w:szCs w:val="20"/>
    </w:rPr>
  </w:style>
  <w:style w:type="paragraph" w:customStyle="1" w:styleId="COTCOCLV3NONUM-ASDEFCON">
    <w:name w:val="COT/COC LV3 NONUM - ASDEFCON"/>
    <w:basedOn w:val="COTCOCLV3-ASDEFCON"/>
    <w:next w:val="COTCOCLV3-ASDEFCON"/>
    <w:rsid w:val="00F3111A"/>
    <w:pPr>
      <w:numPr>
        <w:ilvl w:val="0"/>
        <w:numId w:val="0"/>
      </w:numPr>
      <w:ind w:left="851"/>
    </w:pPr>
    <w:rPr>
      <w:szCs w:val="20"/>
    </w:rPr>
  </w:style>
  <w:style w:type="paragraph" w:customStyle="1" w:styleId="COTCOCLV4NONUM-ASDEFCON">
    <w:name w:val="COT/COC LV4 NONUM - ASDEFCON"/>
    <w:basedOn w:val="COTCOCLV4-ASDEFCON"/>
    <w:next w:val="COTCOCLV4-ASDEFCON"/>
    <w:rsid w:val="00F3111A"/>
    <w:pPr>
      <w:numPr>
        <w:ilvl w:val="0"/>
        <w:numId w:val="0"/>
      </w:numPr>
      <w:ind w:left="1418"/>
    </w:pPr>
    <w:rPr>
      <w:szCs w:val="20"/>
    </w:rPr>
  </w:style>
  <w:style w:type="paragraph" w:customStyle="1" w:styleId="COTCOCLV5NONUM-ASDEFCON">
    <w:name w:val="COT/COC LV5 NONUM - ASDEFCON"/>
    <w:basedOn w:val="COTCOCLV5-ASDEFCON"/>
    <w:next w:val="COTCOCLV5-ASDEFCON"/>
    <w:rsid w:val="00F3111A"/>
    <w:pPr>
      <w:numPr>
        <w:ilvl w:val="0"/>
        <w:numId w:val="0"/>
      </w:numPr>
      <w:ind w:left="1985"/>
    </w:pPr>
    <w:rPr>
      <w:szCs w:val="20"/>
    </w:rPr>
  </w:style>
  <w:style w:type="paragraph" w:customStyle="1" w:styleId="COTCOCLV6NONUM-ASDEFCON">
    <w:name w:val="COT/COC LV6 NONUM - ASDEFCON"/>
    <w:basedOn w:val="COTCOCLV6-ASDEFCON"/>
    <w:next w:val="COTCOCLV6-ASDEFCON"/>
    <w:rsid w:val="00F3111A"/>
    <w:pPr>
      <w:numPr>
        <w:ilvl w:val="0"/>
        <w:numId w:val="0"/>
      </w:numPr>
      <w:ind w:left="2552"/>
    </w:pPr>
    <w:rPr>
      <w:szCs w:val="20"/>
    </w:rPr>
  </w:style>
  <w:style w:type="paragraph" w:customStyle="1" w:styleId="ATTANNLV1NONUM-ASDEFCON">
    <w:name w:val="ATT/ANN LV1 NONUM - ASDEFCON"/>
    <w:basedOn w:val="ATTANNLV1-ASDEFCON"/>
    <w:next w:val="ATTANNLV2-ASDEFCON"/>
    <w:rsid w:val="00F3111A"/>
    <w:pPr>
      <w:numPr>
        <w:numId w:val="0"/>
      </w:numPr>
      <w:ind w:left="851"/>
    </w:pPr>
    <w:rPr>
      <w:bCs/>
      <w:szCs w:val="20"/>
    </w:rPr>
  </w:style>
  <w:style w:type="paragraph" w:customStyle="1" w:styleId="ATTANNLV2NONUM-ASDEFCON">
    <w:name w:val="ATT/ANN LV2 NONUM - ASDEFCON"/>
    <w:basedOn w:val="ATTANNLV2-ASDEFCON"/>
    <w:next w:val="ATTANNLV2-ASDEFCON"/>
    <w:rsid w:val="00F3111A"/>
    <w:pPr>
      <w:numPr>
        <w:ilvl w:val="0"/>
        <w:numId w:val="0"/>
      </w:numPr>
      <w:ind w:left="851"/>
    </w:pPr>
    <w:rPr>
      <w:szCs w:val="20"/>
    </w:rPr>
  </w:style>
  <w:style w:type="paragraph" w:customStyle="1" w:styleId="ATTANNLV3NONUM-ASDEFCON">
    <w:name w:val="ATT/ANN LV3 NONUM - ASDEFCON"/>
    <w:basedOn w:val="ATTANNLV3-ASDEFCON"/>
    <w:next w:val="ATTANNLV3-ASDEFCON"/>
    <w:rsid w:val="00F3111A"/>
    <w:pPr>
      <w:numPr>
        <w:ilvl w:val="0"/>
        <w:numId w:val="0"/>
      </w:numPr>
      <w:ind w:left="1418"/>
    </w:pPr>
    <w:rPr>
      <w:szCs w:val="20"/>
    </w:rPr>
  </w:style>
  <w:style w:type="paragraph" w:customStyle="1" w:styleId="ATTANNLV4NONUM-ASDEFCON">
    <w:name w:val="ATT/ANN LV4 NONUM - ASDEFCON"/>
    <w:basedOn w:val="ATTANNLV4-ASDEFCON"/>
    <w:next w:val="ATTANNLV4-ASDEFCON"/>
    <w:rsid w:val="00F3111A"/>
    <w:pPr>
      <w:numPr>
        <w:ilvl w:val="0"/>
        <w:numId w:val="0"/>
      </w:numPr>
      <w:ind w:left="1985"/>
    </w:pPr>
    <w:rPr>
      <w:szCs w:val="20"/>
    </w:rPr>
  </w:style>
  <w:style w:type="paragraph" w:customStyle="1" w:styleId="NoteToDraftersBullets-ASDEFCON">
    <w:name w:val="Note To Drafters Bullets - ASDEFCON"/>
    <w:basedOn w:val="NoteToDrafters-ASDEFCON"/>
    <w:rsid w:val="00F3111A"/>
    <w:pPr>
      <w:numPr>
        <w:numId w:val="10"/>
      </w:numPr>
    </w:pPr>
    <w:rPr>
      <w:bCs/>
      <w:iCs/>
      <w:szCs w:val="20"/>
    </w:rPr>
  </w:style>
  <w:style w:type="paragraph" w:customStyle="1" w:styleId="NoteToDraftersList-ASDEFCON">
    <w:name w:val="Note To Drafters List - ASDEFCON"/>
    <w:basedOn w:val="NoteToDrafters-ASDEFCON"/>
    <w:rsid w:val="00F3111A"/>
    <w:pPr>
      <w:numPr>
        <w:numId w:val="11"/>
      </w:numPr>
    </w:pPr>
    <w:rPr>
      <w:bCs/>
      <w:iCs/>
      <w:szCs w:val="20"/>
    </w:rPr>
  </w:style>
  <w:style w:type="paragraph" w:customStyle="1" w:styleId="NoteToTenderersBullets-ASDEFCON">
    <w:name w:val="Note To Tenderers Bullets - ASDEFCON"/>
    <w:basedOn w:val="NoteToTenderers-ASDEFCON"/>
    <w:rsid w:val="00F3111A"/>
    <w:pPr>
      <w:numPr>
        <w:numId w:val="12"/>
      </w:numPr>
    </w:pPr>
    <w:rPr>
      <w:bCs/>
      <w:iCs/>
      <w:szCs w:val="20"/>
    </w:rPr>
  </w:style>
  <w:style w:type="paragraph" w:customStyle="1" w:styleId="NoteToTenderersList-ASDEFCON">
    <w:name w:val="Note To Tenderers List - ASDEFCON"/>
    <w:basedOn w:val="NoteToTenderers-ASDEFCON"/>
    <w:rsid w:val="00F3111A"/>
    <w:pPr>
      <w:numPr>
        <w:numId w:val="13"/>
      </w:numPr>
    </w:pPr>
    <w:rPr>
      <w:bCs/>
      <w:iCs/>
      <w:szCs w:val="20"/>
    </w:rPr>
  </w:style>
  <w:style w:type="paragraph" w:customStyle="1" w:styleId="SOWHL1-ASDEFCON">
    <w:name w:val="SOW HL1 - ASDEFCON"/>
    <w:basedOn w:val="ASDEFCONNormal"/>
    <w:next w:val="SOWHL2-ASDEFCON"/>
    <w:qFormat/>
    <w:rsid w:val="00F3111A"/>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3111A"/>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3111A"/>
    <w:pPr>
      <w:keepNext/>
      <w:numPr>
        <w:ilvl w:val="2"/>
        <w:numId w:val="5"/>
      </w:numPr>
    </w:pPr>
    <w:rPr>
      <w:rFonts w:eastAsia="Calibri"/>
      <w:b/>
      <w:szCs w:val="22"/>
      <w:lang w:eastAsia="en-US"/>
    </w:rPr>
  </w:style>
  <w:style w:type="paragraph" w:customStyle="1" w:styleId="SOWHL4-ASDEFCON">
    <w:name w:val="SOW HL4 - ASDEFCON"/>
    <w:basedOn w:val="ASDEFCONNormal"/>
    <w:qFormat/>
    <w:rsid w:val="00F3111A"/>
    <w:pPr>
      <w:keepNext/>
      <w:numPr>
        <w:ilvl w:val="3"/>
        <w:numId w:val="5"/>
      </w:numPr>
    </w:pPr>
    <w:rPr>
      <w:rFonts w:eastAsia="Calibri"/>
      <w:b/>
      <w:szCs w:val="22"/>
      <w:lang w:eastAsia="en-US"/>
    </w:rPr>
  </w:style>
  <w:style w:type="paragraph" w:customStyle="1" w:styleId="SOWHL5-ASDEFCON">
    <w:name w:val="SOW HL5 - ASDEFCON"/>
    <w:basedOn w:val="ASDEFCONNormal"/>
    <w:qFormat/>
    <w:rsid w:val="00F3111A"/>
    <w:pPr>
      <w:keepNext/>
      <w:numPr>
        <w:ilvl w:val="4"/>
        <w:numId w:val="5"/>
      </w:numPr>
    </w:pPr>
    <w:rPr>
      <w:rFonts w:eastAsia="Calibri"/>
      <w:b/>
      <w:szCs w:val="22"/>
      <w:lang w:eastAsia="en-US"/>
    </w:rPr>
  </w:style>
  <w:style w:type="paragraph" w:customStyle="1" w:styleId="SOWSubL1-ASDEFCON">
    <w:name w:val="SOW SubL1 - ASDEFCON"/>
    <w:basedOn w:val="ASDEFCONNormal"/>
    <w:qFormat/>
    <w:rsid w:val="00F3111A"/>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F3111A"/>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3111A"/>
    <w:pPr>
      <w:numPr>
        <w:ilvl w:val="0"/>
        <w:numId w:val="0"/>
      </w:numPr>
      <w:ind w:left="1134"/>
    </w:pPr>
    <w:rPr>
      <w:rFonts w:eastAsia="Times New Roman"/>
      <w:bCs/>
      <w:szCs w:val="20"/>
    </w:rPr>
  </w:style>
  <w:style w:type="paragraph" w:customStyle="1" w:styleId="SOWTL2-ASDEFCON">
    <w:name w:val="SOW TL2 - ASDEFCON"/>
    <w:basedOn w:val="SOWHL2-ASDEFCON"/>
    <w:rsid w:val="00F3111A"/>
    <w:pPr>
      <w:keepNext w:val="0"/>
      <w:pBdr>
        <w:bottom w:val="none" w:sz="0" w:space="0" w:color="auto"/>
      </w:pBdr>
    </w:pPr>
    <w:rPr>
      <w:b w:val="0"/>
    </w:rPr>
  </w:style>
  <w:style w:type="paragraph" w:customStyle="1" w:styleId="SOWTL3NONUM-ASDEFCON">
    <w:name w:val="SOW TL3 NONUM - ASDEFCON"/>
    <w:basedOn w:val="SOWTL3-ASDEFCON"/>
    <w:next w:val="SOWTL3-ASDEFCON"/>
    <w:rsid w:val="00F3111A"/>
    <w:pPr>
      <w:numPr>
        <w:ilvl w:val="0"/>
        <w:numId w:val="0"/>
      </w:numPr>
      <w:ind w:left="1134"/>
    </w:pPr>
    <w:rPr>
      <w:rFonts w:eastAsia="Times New Roman"/>
      <w:bCs/>
      <w:szCs w:val="20"/>
    </w:rPr>
  </w:style>
  <w:style w:type="paragraph" w:customStyle="1" w:styleId="SOWTL3-ASDEFCON">
    <w:name w:val="SOW TL3 - ASDEFCON"/>
    <w:basedOn w:val="SOWHL3-ASDEFCON"/>
    <w:rsid w:val="00F3111A"/>
    <w:pPr>
      <w:keepNext w:val="0"/>
    </w:pPr>
    <w:rPr>
      <w:b w:val="0"/>
    </w:rPr>
  </w:style>
  <w:style w:type="paragraph" w:customStyle="1" w:styleId="SOWTL4NONUM-ASDEFCON">
    <w:name w:val="SOW TL4 NONUM - ASDEFCON"/>
    <w:basedOn w:val="SOWTL4-ASDEFCON"/>
    <w:next w:val="SOWTL4-ASDEFCON"/>
    <w:rsid w:val="00F3111A"/>
    <w:pPr>
      <w:numPr>
        <w:ilvl w:val="0"/>
        <w:numId w:val="0"/>
      </w:numPr>
      <w:ind w:left="1134"/>
    </w:pPr>
    <w:rPr>
      <w:rFonts w:eastAsia="Times New Roman"/>
      <w:bCs/>
      <w:szCs w:val="20"/>
    </w:rPr>
  </w:style>
  <w:style w:type="paragraph" w:customStyle="1" w:styleId="SOWTL4-ASDEFCON">
    <w:name w:val="SOW TL4 - ASDEFCON"/>
    <w:basedOn w:val="SOWHL4-ASDEFCON"/>
    <w:rsid w:val="00F3111A"/>
    <w:pPr>
      <w:keepNext w:val="0"/>
    </w:pPr>
    <w:rPr>
      <w:b w:val="0"/>
    </w:rPr>
  </w:style>
  <w:style w:type="paragraph" w:customStyle="1" w:styleId="SOWTL5NONUM-ASDEFCON">
    <w:name w:val="SOW TL5 NONUM - ASDEFCON"/>
    <w:basedOn w:val="SOWHL5-ASDEFCON"/>
    <w:next w:val="SOWTL5-ASDEFCON"/>
    <w:rsid w:val="00F3111A"/>
    <w:pPr>
      <w:keepNext w:val="0"/>
      <w:numPr>
        <w:ilvl w:val="0"/>
        <w:numId w:val="0"/>
      </w:numPr>
      <w:ind w:left="1134"/>
    </w:pPr>
    <w:rPr>
      <w:b w:val="0"/>
    </w:rPr>
  </w:style>
  <w:style w:type="paragraph" w:customStyle="1" w:styleId="SOWTL5-ASDEFCON">
    <w:name w:val="SOW TL5 - ASDEFCON"/>
    <w:basedOn w:val="SOWHL5-ASDEFCON"/>
    <w:rsid w:val="00F3111A"/>
    <w:pPr>
      <w:keepNext w:val="0"/>
    </w:pPr>
    <w:rPr>
      <w:b w:val="0"/>
    </w:rPr>
  </w:style>
  <w:style w:type="paragraph" w:customStyle="1" w:styleId="SOWSubL2-ASDEFCON">
    <w:name w:val="SOW SubL2 - ASDEFCON"/>
    <w:basedOn w:val="ASDEFCONNormal"/>
    <w:qFormat/>
    <w:rsid w:val="00F3111A"/>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F3111A"/>
    <w:pPr>
      <w:numPr>
        <w:numId w:val="0"/>
      </w:numPr>
      <w:ind w:left="1701"/>
    </w:pPr>
  </w:style>
  <w:style w:type="paragraph" w:customStyle="1" w:styleId="SOWSubL2NONUM-ASDEFCON">
    <w:name w:val="SOW SubL2 NONUM - ASDEFCON"/>
    <w:basedOn w:val="SOWSubL2-ASDEFCON"/>
    <w:next w:val="SOWSubL2-ASDEFCON"/>
    <w:qFormat/>
    <w:rsid w:val="00F3111A"/>
    <w:pPr>
      <w:numPr>
        <w:ilvl w:val="0"/>
        <w:numId w:val="0"/>
      </w:numPr>
      <w:ind w:left="2268"/>
    </w:pPr>
  </w:style>
  <w:style w:type="paragraph" w:customStyle="1" w:styleId="ASDEFCONTextBlock">
    <w:name w:val="ASDEFCON TextBlock"/>
    <w:basedOn w:val="ASDEFCONNormal"/>
    <w:qFormat/>
    <w:rsid w:val="00F3111A"/>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3111A"/>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3111A"/>
    <w:pPr>
      <w:keepNext/>
      <w:spacing w:before="240"/>
    </w:pPr>
    <w:rPr>
      <w:rFonts w:ascii="Arial Bold" w:hAnsi="Arial Bold"/>
      <w:b/>
      <w:bCs/>
      <w:caps/>
      <w:szCs w:val="20"/>
    </w:rPr>
  </w:style>
  <w:style w:type="paragraph" w:customStyle="1" w:styleId="Table8ptHeading-ASDEFCON">
    <w:name w:val="Table 8pt Heading - ASDEFCON"/>
    <w:basedOn w:val="ASDEFCONNormal"/>
    <w:rsid w:val="00F3111A"/>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3111A"/>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3111A"/>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3111A"/>
    <w:rPr>
      <w:rFonts w:ascii="Arial" w:eastAsia="Calibri" w:hAnsi="Arial"/>
      <w:color w:val="000000"/>
      <w:szCs w:val="22"/>
      <w:lang w:eastAsia="en-US"/>
    </w:rPr>
  </w:style>
  <w:style w:type="paragraph" w:customStyle="1" w:styleId="Table8ptSub1-ASDEFCON">
    <w:name w:val="Table 8pt Sub1 - ASDEFCON"/>
    <w:basedOn w:val="Table8ptText-ASDEFCON"/>
    <w:rsid w:val="00F3111A"/>
    <w:pPr>
      <w:numPr>
        <w:ilvl w:val="1"/>
      </w:numPr>
    </w:pPr>
  </w:style>
  <w:style w:type="paragraph" w:customStyle="1" w:styleId="Table8ptSub2-ASDEFCON">
    <w:name w:val="Table 8pt Sub2 - ASDEFCON"/>
    <w:basedOn w:val="Table8ptText-ASDEFCON"/>
    <w:rsid w:val="00F3111A"/>
    <w:pPr>
      <w:numPr>
        <w:ilvl w:val="2"/>
      </w:numPr>
    </w:pPr>
  </w:style>
  <w:style w:type="paragraph" w:customStyle="1" w:styleId="Table10ptHeading-ASDEFCON">
    <w:name w:val="Table 10pt Heading - ASDEFCON"/>
    <w:basedOn w:val="ASDEFCONNormal"/>
    <w:link w:val="Table10ptHeading-ASDEFCONChar"/>
    <w:rsid w:val="00F3111A"/>
    <w:pPr>
      <w:keepNext/>
      <w:spacing w:before="60" w:after="60"/>
      <w:jc w:val="center"/>
    </w:pPr>
    <w:rPr>
      <w:b/>
    </w:rPr>
  </w:style>
  <w:style w:type="paragraph" w:customStyle="1" w:styleId="Table8ptBP1-ASDEFCON">
    <w:name w:val="Table 8pt BP1 - ASDEFCON"/>
    <w:basedOn w:val="Table8ptText-ASDEFCON"/>
    <w:rsid w:val="00F3111A"/>
    <w:pPr>
      <w:numPr>
        <w:numId w:val="16"/>
      </w:numPr>
    </w:pPr>
  </w:style>
  <w:style w:type="paragraph" w:customStyle="1" w:styleId="Table8ptBP2-ASDEFCON">
    <w:name w:val="Table 8pt BP2 - ASDEFCON"/>
    <w:basedOn w:val="Table8ptText-ASDEFCON"/>
    <w:rsid w:val="00F3111A"/>
    <w:pPr>
      <w:numPr>
        <w:ilvl w:val="1"/>
        <w:numId w:val="16"/>
      </w:numPr>
      <w:tabs>
        <w:tab w:val="clear" w:pos="284"/>
      </w:tabs>
    </w:pPr>
    <w:rPr>
      <w:iCs/>
    </w:rPr>
  </w:style>
  <w:style w:type="paragraph" w:customStyle="1" w:styleId="ASDEFCONBulletsLV1">
    <w:name w:val="ASDEFCON Bullets LV1"/>
    <w:basedOn w:val="ASDEFCONNormal"/>
    <w:rsid w:val="00F3111A"/>
    <w:pPr>
      <w:numPr>
        <w:numId w:val="18"/>
      </w:numPr>
    </w:pPr>
    <w:rPr>
      <w:rFonts w:eastAsia="Calibri"/>
      <w:szCs w:val="22"/>
      <w:lang w:eastAsia="en-US"/>
    </w:rPr>
  </w:style>
  <w:style w:type="paragraph" w:customStyle="1" w:styleId="Table10ptSub1-ASDEFCON">
    <w:name w:val="Table 10pt Sub1 - ASDEFCON"/>
    <w:basedOn w:val="Table10ptText-ASDEFCON"/>
    <w:rsid w:val="00F3111A"/>
    <w:pPr>
      <w:numPr>
        <w:ilvl w:val="1"/>
      </w:numPr>
      <w:jc w:val="both"/>
    </w:pPr>
  </w:style>
  <w:style w:type="paragraph" w:customStyle="1" w:styleId="Table10ptSub2-ASDEFCON">
    <w:name w:val="Table 10pt Sub2 - ASDEFCON"/>
    <w:basedOn w:val="Table10ptText-ASDEFCON"/>
    <w:rsid w:val="00F3111A"/>
    <w:pPr>
      <w:numPr>
        <w:ilvl w:val="2"/>
      </w:numPr>
      <w:jc w:val="both"/>
    </w:pPr>
  </w:style>
  <w:style w:type="paragraph" w:customStyle="1" w:styleId="ASDEFCONBulletsLV2">
    <w:name w:val="ASDEFCON Bullets LV2"/>
    <w:basedOn w:val="ASDEFCONNormal"/>
    <w:rsid w:val="00F3111A"/>
    <w:pPr>
      <w:numPr>
        <w:numId w:val="4"/>
      </w:numPr>
    </w:pPr>
  </w:style>
  <w:style w:type="paragraph" w:customStyle="1" w:styleId="Table10ptBP1-ASDEFCON">
    <w:name w:val="Table 10pt BP1 - ASDEFCON"/>
    <w:basedOn w:val="ASDEFCONNormal"/>
    <w:rsid w:val="00F3111A"/>
    <w:pPr>
      <w:numPr>
        <w:numId w:val="22"/>
      </w:numPr>
      <w:spacing w:before="60" w:after="60"/>
    </w:pPr>
  </w:style>
  <w:style w:type="paragraph" w:customStyle="1" w:styleId="Table10ptBP2-ASDEFCON">
    <w:name w:val="Table 10pt BP2 - ASDEFCON"/>
    <w:basedOn w:val="ASDEFCONNormal"/>
    <w:link w:val="Table10ptBP2-ASDEFCONCharChar"/>
    <w:rsid w:val="00F3111A"/>
    <w:pPr>
      <w:numPr>
        <w:ilvl w:val="1"/>
        <w:numId w:val="22"/>
      </w:numPr>
      <w:spacing w:before="60" w:after="60"/>
    </w:pPr>
  </w:style>
  <w:style w:type="character" w:customStyle="1" w:styleId="Table10ptBP2-ASDEFCONCharChar">
    <w:name w:val="Table 10pt BP2 - ASDEFCON Char Char"/>
    <w:link w:val="Table10ptBP2-ASDEFCON"/>
    <w:rsid w:val="00F3111A"/>
    <w:rPr>
      <w:rFonts w:ascii="Arial" w:hAnsi="Arial"/>
      <w:color w:val="000000"/>
      <w:szCs w:val="40"/>
    </w:rPr>
  </w:style>
  <w:style w:type="paragraph" w:customStyle="1" w:styleId="GuideMarginHead-ASDEFCON">
    <w:name w:val="Guide Margin Head - ASDEFCON"/>
    <w:basedOn w:val="ASDEFCONNormal"/>
    <w:rsid w:val="00F3111A"/>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3111A"/>
    <w:pPr>
      <w:ind w:left="1680"/>
    </w:pPr>
    <w:rPr>
      <w:lang w:eastAsia="en-US"/>
    </w:rPr>
  </w:style>
  <w:style w:type="paragraph" w:customStyle="1" w:styleId="GuideSublistLv1-ASDEFCON">
    <w:name w:val="Guide Sublist Lv1 - ASDEFCON"/>
    <w:basedOn w:val="ASDEFCONNormal"/>
    <w:qFormat/>
    <w:rsid w:val="00F3111A"/>
    <w:pPr>
      <w:numPr>
        <w:numId w:val="26"/>
      </w:numPr>
    </w:pPr>
    <w:rPr>
      <w:rFonts w:eastAsia="Calibri"/>
      <w:szCs w:val="22"/>
      <w:lang w:eastAsia="en-US"/>
    </w:rPr>
  </w:style>
  <w:style w:type="paragraph" w:customStyle="1" w:styleId="GuideBullets-ASDEFCON">
    <w:name w:val="Guide Bullets - ASDEFCON"/>
    <w:basedOn w:val="ASDEFCONNormal"/>
    <w:rsid w:val="00F3111A"/>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F3111A"/>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3111A"/>
    <w:pPr>
      <w:keepNext/>
      <w:spacing w:before="240"/>
    </w:pPr>
    <w:rPr>
      <w:rFonts w:eastAsia="Calibri"/>
      <w:b/>
      <w:caps/>
      <w:szCs w:val="20"/>
      <w:lang w:eastAsia="en-US"/>
    </w:rPr>
  </w:style>
  <w:style w:type="paragraph" w:customStyle="1" w:styleId="ASDEFCONSublist">
    <w:name w:val="ASDEFCON Sublist"/>
    <w:basedOn w:val="ASDEFCONNormal"/>
    <w:rsid w:val="00F3111A"/>
    <w:pPr>
      <w:numPr>
        <w:numId w:val="27"/>
      </w:numPr>
    </w:pPr>
    <w:rPr>
      <w:iCs/>
    </w:rPr>
  </w:style>
  <w:style w:type="paragraph" w:customStyle="1" w:styleId="ASDEFCONRecitals">
    <w:name w:val="ASDEFCON Recitals"/>
    <w:basedOn w:val="ASDEFCONNormal"/>
    <w:link w:val="ASDEFCONRecitalsCharChar"/>
    <w:rsid w:val="00F3111A"/>
    <w:pPr>
      <w:numPr>
        <w:numId w:val="19"/>
      </w:numPr>
    </w:pPr>
  </w:style>
  <w:style w:type="character" w:customStyle="1" w:styleId="ASDEFCONRecitalsCharChar">
    <w:name w:val="ASDEFCON Recitals Char Char"/>
    <w:link w:val="ASDEFCONRecitals"/>
    <w:rsid w:val="00F3111A"/>
    <w:rPr>
      <w:rFonts w:ascii="Arial" w:hAnsi="Arial"/>
      <w:color w:val="000000"/>
      <w:szCs w:val="40"/>
    </w:rPr>
  </w:style>
  <w:style w:type="paragraph" w:customStyle="1" w:styleId="NoteList-ASDEFCON">
    <w:name w:val="Note List - ASDEFCON"/>
    <w:basedOn w:val="ASDEFCONNormal"/>
    <w:rsid w:val="00F3111A"/>
    <w:pPr>
      <w:numPr>
        <w:numId w:val="20"/>
      </w:numPr>
    </w:pPr>
    <w:rPr>
      <w:b/>
      <w:bCs/>
      <w:i/>
    </w:rPr>
  </w:style>
  <w:style w:type="paragraph" w:customStyle="1" w:styleId="NoteBullets-ASDEFCON">
    <w:name w:val="Note Bullets - ASDEFCON"/>
    <w:basedOn w:val="ASDEFCONNormal"/>
    <w:rsid w:val="00F3111A"/>
    <w:pPr>
      <w:numPr>
        <w:numId w:val="21"/>
      </w:numPr>
    </w:pPr>
    <w:rPr>
      <w:b/>
      <w:i/>
    </w:rPr>
  </w:style>
  <w:style w:type="paragraph" w:customStyle="1" w:styleId="ASDEFCONOperativePartListLV1">
    <w:name w:val="ASDEFCON Operative Part List LV1"/>
    <w:basedOn w:val="ASDEFCONNormal"/>
    <w:rsid w:val="00F3111A"/>
    <w:pPr>
      <w:numPr>
        <w:numId w:val="23"/>
      </w:numPr>
    </w:pPr>
    <w:rPr>
      <w:iCs/>
    </w:rPr>
  </w:style>
  <w:style w:type="paragraph" w:customStyle="1" w:styleId="ASDEFCONOperativePartListLV2">
    <w:name w:val="ASDEFCON Operative Part List LV2"/>
    <w:basedOn w:val="ASDEFCONOperativePartListLV1"/>
    <w:rsid w:val="00F3111A"/>
    <w:pPr>
      <w:numPr>
        <w:ilvl w:val="1"/>
      </w:numPr>
    </w:pPr>
  </w:style>
  <w:style w:type="paragraph" w:customStyle="1" w:styleId="ASDEFCONOptionSpace">
    <w:name w:val="ASDEFCON Option Space"/>
    <w:basedOn w:val="ASDEFCONNormal"/>
    <w:rsid w:val="00F3111A"/>
    <w:pPr>
      <w:spacing w:after="0"/>
    </w:pPr>
    <w:rPr>
      <w:bCs/>
      <w:color w:val="FFFFFF"/>
      <w:sz w:val="8"/>
    </w:rPr>
  </w:style>
  <w:style w:type="paragraph" w:customStyle="1" w:styleId="ATTANNReferencetoCOC">
    <w:name w:val="ATT/ANN Reference to COC"/>
    <w:basedOn w:val="ASDEFCONNormal"/>
    <w:rsid w:val="00F3111A"/>
    <w:pPr>
      <w:keepNext/>
      <w:jc w:val="right"/>
    </w:pPr>
    <w:rPr>
      <w:i/>
      <w:iCs/>
      <w:szCs w:val="20"/>
    </w:rPr>
  </w:style>
  <w:style w:type="paragraph" w:customStyle="1" w:styleId="ASDEFCONHeaderFooterCenter">
    <w:name w:val="ASDEFCON Header/Footer Center"/>
    <w:basedOn w:val="ASDEFCONHeaderFooterLeft"/>
    <w:rsid w:val="00F3111A"/>
    <w:pPr>
      <w:jc w:val="center"/>
    </w:pPr>
    <w:rPr>
      <w:szCs w:val="20"/>
    </w:rPr>
  </w:style>
  <w:style w:type="paragraph" w:customStyle="1" w:styleId="ASDEFCONHeaderFooterRight">
    <w:name w:val="ASDEFCON Header/Footer Right"/>
    <w:basedOn w:val="ASDEFCONHeaderFooterLeft"/>
    <w:rsid w:val="00F3111A"/>
    <w:pPr>
      <w:jc w:val="right"/>
    </w:pPr>
    <w:rPr>
      <w:szCs w:val="20"/>
    </w:rPr>
  </w:style>
  <w:style w:type="paragraph" w:customStyle="1" w:styleId="ASDEFCONHeaderFooterClassification">
    <w:name w:val="ASDEFCON Header/Footer Classification"/>
    <w:basedOn w:val="ASDEFCONHeaderFooterLeft"/>
    <w:rsid w:val="00F3111A"/>
    <w:pPr>
      <w:jc w:val="center"/>
    </w:pPr>
    <w:rPr>
      <w:rFonts w:ascii="Arial Bold" w:hAnsi="Arial Bold"/>
      <w:b/>
      <w:bCs/>
      <w:caps/>
      <w:sz w:val="20"/>
    </w:rPr>
  </w:style>
  <w:style w:type="paragraph" w:customStyle="1" w:styleId="GuideLV3Head-ASDEFCON">
    <w:name w:val="Guide LV3 Head - ASDEFCON"/>
    <w:basedOn w:val="ASDEFCONNormal"/>
    <w:rsid w:val="00F3111A"/>
    <w:pPr>
      <w:keepNext/>
    </w:pPr>
    <w:rPr>
      <w:rFonts w:eastAsia="Calibri"/>
      <w:b/>
      <w:szCs w:val="22"/>
      <w:lang w:eastAsia="en-US"/>
    </w:rPr>
  </w:style>
  <w:style w:type="paragraph" w:customStyle="1" w:styleId="GuideSublistLv2-ASDEFCON">
    <w:name w:val="Guide Sublist Lv2 - ASDEFCON"/>
    <w:basedOn w:val="ASDEFCONNormal"/>
    <w:rsid w:val="00F3111A"/>
    <w:pPr>
      <w:numPr>
        <w:ilvl w:val="1"/>
        <w:numId w:val="26"/>
      </w:numPr>
    </w:pPr>
  </w:style>
  <w:style w:type="paragraph" w:customStyle="1" w:styleId="ASDEFCONList">
    <w:name w:val="ASDEFCON List"/>
    <w:basedOn w:val="ASDEFCONNormal"/>
    <w:qFormat/>
    <w:rsid w:val="00F3111A"/>
    <w:pPr>
      <w:numPr>
        <w:numId w:val="28"/>
      </w:numPr>
    </w:pPr>
  </w:style>
  <w:style w:type="paragraph" w:styleId="TOCHeading">
    <w:name w:val="TOC Heading"/>
    <w:basedOn w:val="Heading1"/>
    <w:next w:val="Normal"/>
    <w:uiPriority w:val="39"/>
    <w:semiHidden/>
    <w:unhideWhenUsed/>
    <w:qFormat/>
    <w:rsid w:val="00500BD5"/>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ListParagraph">
    <w:name w:val="List Paragraph"/>
    <w:basedOn w:val="Normal"/>
    <w:uiPriority w:val="34"/>
    <w:qFormat/>
    <w:rsid w:val="005C6BEE"/>
    <w:pPr>
      <w:ind w:left="720"/>
      <w:contextualSpacing/>
    </w:pPr>
  </w:style>
  <w:style w:type="paragraph" w:customStyle="1" w:styleId="appendixno">
    <w:name w:val="appendixno"/>
    <w:basedOn w:val="Normal"/>
    <w:rsid w:val="00850B28"/>
    <w:pPr>
      <w:numPr>
        <w:numId w:val="33"/>
      </w:numPr>
      <w:spacing w:line="240" w:lineRule="atLeast"/>
      <w:ind w:right="-43"/>
    </w:pPr>
    <w:rPr>
      <w:snapToGrid w:val="0"/>
      <w:lang w:val="en-US"/>
    </w:rPr>
  </w:style>
  <w:style w:type="paragraph" w:customStyle="1" w:styleId="HandbookLevel2Header">
    <w:name w:val="Handbook Level 2 Header"/>
    <w:basedOn w:val="Heading2"/>
    <w:autoRedefine/>
    <w:qFormat/>
    <w:rsid w:val="00D61EB1"/>
    <w:pPr>
      <w:pBdr>
        <w:top w:val="single" w:sz="4" w:space="1" w:color="E86D1F"/>
      </w:pBdr>
      <w:spacing w:after="240"/>
    </w:pPr>
    <w:rPr>
      <w:rFonts w:ascii="Arial Bold" w:hAnsi="Arial Bold"/>
      <w:color w:val="E86D1F"/>
      <w:sz w:val="20"/>
    </w:rPr>
  </w:style>
  <w:style w:type="character" w:customStyle="1" w:styleId="Table10ptHeading-ASDEFCONChar">
    <w:name w:val="Table 10pt Heading - ASDEFCON Char"/>
    <w:link w:val="Table10ptHeading-ASDEFCON"/>
    <w:rsid w:val="00E55E3B"/>
    <w:rPr>
      <w:rFonts w:ascii="Arial" w:hAnsi="Arial"/>
      <w:b/>
      <w:color w:val="000000"/>
      <w:szCs w:val="40"/>
    </w:rPr>
  </w:style>
  <w:style w:type="table" w:customStyle="1" w:styleId="TableGrid1">
    <w:name w:val="Table Grid1"/>
    <w:basedOn w:val="TableNormal"/>
    <w:next w:val="TableGrid"/>
    <w:uiPriority w:val="59"/>
    <w:rsid w:val="000868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D9DA3-1005-4570-BFFA-B34487C1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3908</TotalTime>
  <Pages>10</Pages>
  <Words>4479</Words>
  <Characters>25531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29951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Attachment to Draft Conditions of Contract</dc:subject>
  <dc:creator>ASDEFCON and Contracting Initiatives</dc:creator>
  <cp:keywords/>
  <dc:description/>
  <cp:lastModifiedBy>DAE1-</cp:lastModifiedBy>
  <cp:revision>27</cp:revision>
  <cp:lastPrinted>2015-07-06T00:04:00Z</cp:lastPrinted>
  <dcterms:created xsi:type="dcterms:W3CDTF">2019-03-08T05:27:00Z</dcterms:created>
  <dcterms:modified xsi:type="dcterms:W3CDTF">2022-03-10T02:27:00Z</dcterms:modified>
  <cp:category>PART 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BM42687310</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Kanakaratne, Shakeela Mrs</vt:lpwstr>
  </property>
  <property fmtid="{D5CDD505-2E9C-101B-9397-08002B2CF9AE}" pid="8"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9" name="Objective-Parent">
    <vt:lpwstr>10 cleaned up versions of 7 templates impacted by live update March 2022</vt:lpwstr>
  </property>
  <property fmtid="{D5CDD505-2E9C-101B-9397-08002B2CF9AE}" pid="10" name="Objective-State">
    <vt:lpwstr>Being Edited</vt:lpwstr>
  </property>
  <property fmtid="{D5CDD505-2E9C-101B-9397-08002B2CF9AE}" pid="11" name="Objective-Version">
    <vt:lpwstr>1.1</vt:lpwstr>
  </property>
  <property fmtid="{D5CDD505-2E9C-101B-9397-08002B2CF9AE}" pid="12" name="Objective-VersionNumber">
    <vt:i4>2</vt:i4>
  </property>
  <property fmtid="{D5CDD505-2E9C-101B-9397-08002B2CF9AE}" pid="13" name="Objective-VersionComment">
    <vt:lpwstr/>
  </property>
  <property fmtid="{D5CDD505-2E9C-101B-9397-08002B2CF9AE}" pid="14" name="Objective-FileNumber">
    <vt:lpwstr/>
  </property>
  <property fmtid="{D5CDD505-2E9C-101B-9397-08002B2CF9AE}" pid="15" name="Objective-Classification">
    <vt:lpwstr>[Inherited - Official]</vt:lpwstr>
  </property>
  <property fmtid="{D5CDD505-2E9C-101B-9397-08002B2CF9AE}" pid="16" name="Objective-Caveats">
    <vt:lpwstr/>
  </property>
  <property fmtid="{D5CDD505-2E9C-101B-9397-08002B2CF9AE}" pid="17" name="Objective-Document Type [system]">
    <vt:lpwstr/>
  </property>
  <property fmtid="{D5CDD505-2E9C-101B-9397-08002B2CF9AE}" pid="18" name="Objective-Title">
    <vt:lpwstr>017_SPTV5.0_CATTB_PriceAndPayments</vt:lpwstr>
  </property>
  <property fmtid="{D5CDD505-2E9C-101B-9397-08002B2CF9AE}" pid="19" name="Objective-Comment">
    <vt:lpwstr/>
  </property>
  <property fmtid="{D5CDD505-2E9C-101B-9397-08002B2CF9AE}" pid="20" name="Objective-CreationStamp">
    <vt:filetime>2022-03-10T01:39:09Z</vt:filetime>
  </property>
  <property fmtid="{D5CDD505-2E9C-101B-9397-08002B2CF9AE}" pid="21" name="Objective-ModificationStamp">
    <vt:filetime>2022-03-10T02:24:56Z</vt:filetime>
  </property>
  <property fmtid="{D5CDD505-2E9C-101B-9397-08002B2CF9AE}" pid="22" name="Header_Left">
    <vt:lpwstr>ASDEFCON (Support)</vt:lpwstr>
  </property>
  <property fmtid="{D5CDD505-2E9C-101B-9397-08002B2CF9AE}" pid="23" name="Header_Right">
    <vt:lpwstr>PART 2</vt:lpwstr>
  </property>
  <property fmtid="{D5CDD505-2E9C-101B-9397-08002B2CF9AE}" pid="24" name="Classification">
    <vt:lpwstr>OFFICIAL</vt:lpwstr>
  </property>
  <property fmtid="{D5CDD505-2E9C-101B-9397-08002B2CF9AE}" pid="25" name="Footer_Left">
    <vt:lpwstr/>
  </property>
</Properties>
</file>