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722" w:rsidRDefault="00DD1722" w:rsidP="004808D0">
      <w:pPr>
        <w:pStyle w:val="ASDEFCONTitle"/>
      </w:pPr>
      <w:r>
        <w:t>D</w:t>
      </w:r>
      <w:bookmarkStart w:id="0" w:name="_Ref442071221"/>
      <w:bookmarkEnd w:id="0"/>
      <w:r>
        <w:t>ATA ITEM DESCRIPTION</w:t>
      </w:r>
    </w:p>
    <w:p w:rsidR="00DD1722" w:rsidRDefault="00DD1722" w:rsidP="004808D0">
      <w:pPr>
        <w:pStyle w:val="SOWHL1-ASDEFCON"/>
      </w:pPr>
      <w:bookmarkStart w:id="1" w:name="_Toc515805636"/>
      <w:r>
        <w:t>DID NUMBER:</w:t>
      </w:r>
      <w:r>
        <w:tab/>
      </w:r>
      <w:r w:rsidR="00321698">
        <w:fldChar w:fldCharType="begin"/>
      </w:r>
      <w:r w:rsidR="00321698">
        <w:instrText xml:space="preserve"> DOCPROPERTY  Title  \* MERGEFORMAT </w:instrText>
      </w:r>
      <w:r w:rsidR="00321698">
        <w:fldChar w:fldCharType="separate"/>
      </w:r>
      <w:r w:rsidR="00ED187E">
        <w:t>DID-SSM-SMP</w:t>
      </w:r>
      <w:r w:rsidR="00321698">
        <w:fldChar w:fldCharType="end"/>
      </w:r>
      <w:r w:rsidR="007D737F">
        <w:t>-</w:t>
      </w:r>
      <w:r w:rsidR="00321698">
        <w:fldChar w:fldCharType="begin"/>
      </w:r>
      <w:r w:rsidR="00321698">
        <w:instrText xml:space="preserve"> DOCPROPERTY Version </w:instrText>
      </w:r>
      <w:r w:rsidR="00321698">
        <w:fldChar w:fldCharType="separate"/>
      </w:r>
      <w:r w:rsidR="00ED66B2">
        <w:t>V5.0</w:t>
      </w:r>
      <w:r w:rsidR="00321698">
        <w:fldChar w:fldCharType="end"/>
      </w:r>
    </w:p>
    <w:bookmarkEnd w:id="1"/>
    <w:p w:rsidR="00DD1722" w:rsidRDefault="00DD1722" w:rsidP="00AD2B00">
      <w:pPr>
        <w:pStyle w:val="SOWHL1-ASDEFCON"/>
      </w:pPr>
      <w:r>
        <w:t>TITLE:</w:t>
      </w:r>
      <w:r>
        <w:tab/>
        <w:t>SURGE Management Plan</w:t>
      </w:r>
    </w:p>
    <w:p w:rsidR="00DD1722" w:rsidRDefault="00DD1722" w:rsidP="00AD2B00">
      <w:pPr>
        <w:pStyle w:val="SOWHL1-ASDEFCON"/>
      </w:pPr>
      <w:r>
        <w:t>DESCRIPTION and intended use</w:t>
      </w:r>
    </w:p>
    <w:p w:rsidR="00DD1722" w:rsidRDefault="00DD1722" w:rsidP="004808D0">
      <w:pPr>
        <w:pStyle w:val="SOWTL2-ASDEFCON"/>
      </w:pPr>
      <w:r>
        <w:t>The Surge Management Plan (SMP) defines the Contractor's (and Subcontractors’) approach to managing the variations in demand patterns that are likely to arise through the Commonwealth enacting the Surge requirements of the Contract</w:t>
      </w:r>
      <w:r w:rsidR="00AC0E01">
        <w:t xml:space="preserve">, </w:t>
      </w:r>
      <w:r w:rsidR="009839F1">
        <w:t>including</w:t>
      </w:r>
      <w:r w:rsidR="00AC0E01">
        <w:t xml:space="preserve"> the likely withdrawal of Members Required in Uniform (MRU)</w:t>
      </w:r>
      <w:r w:rsidR="009839F1">
        <w:t>,</w:t>
      </w:r>
      <w:r w:rsidR="00AC0E01">
        <w:t xml:space="preserve"> if </w:t>
      </w:r>
      <w:r w:rsidR="009839F1">
        <w:t xml:space="preserve">MRU is </w:t>
      </w:r>
      <w:r w:rsidR="00415F17">
        <w:t xml:space="preserve">required under </w:t>
      </w:r>
      <w:r w:rsidR="00AC0E01">
        <w:t>the Contract</w:t>
      </w:r>
      <w:r>
        <w:t>.</w:t>
      </w:r>
    </w:p>
    <w:p w:rsidR="00DD1722" w:rsidRDefault="00DD1722" w:rsidP="00AD2B00">
      <w:pPr>
        <w:pStyle w:val="SOWTL2-ASDEFCON"/>
      </w:pPr>
      <w:r>
        <w:t>The Contractor uses the SMP to:</w:t>
      </w:r>
    </w:p>
    <w:p w:rsidR="00CD01DE" w:rsidRDefault="00DD1722" w:rsidP="004808D0">
      <w:pPr>
        <w:pStyle w:val="SOWSubL1-ASDEFCON"/>
      </w:pPr>
      <w:r>
        <w:t>define, manage and monitor its activities</w:t>
      </w:r>
      <w:r w:rsidR="00CD01DE">
        <w:t>:</w:t>
      </w:r>
    </w:p>
    <w:p w:rsidR="00CD01DE" w:rsidRDefault="00D25915" w:rsidP="004808D0">
      <w:pPr>
        <w:pStyle w:val="SOWSubL2-ASDEFCON"/>
      </w:pPr>
      <w:r>
        <w:t>to establish and retain a Surge capability</w:t>
      </w:r>
      <w:bookmarkStart w:id="2" w:name="_GoBack"/>
      <w:r w:rsidR="00BA27D8">
        <w:t>;</w:t>
      </w:r>
      <w:r w:rsidR="00321698">
        <w:t xml:space="preserve"> </w:t>
      </w:r>
      <w:bookmarkEnd w:id="2"/>
      <w:r w:rsidR="00321698">
        <w:t>and</w:t>
      </w:r>
    </w:p>
    <w:p w:rsidR="00DD1722" w:rsidRDefault="00DD1722" w:rsidP="00AD2B00">
      <w:pPr>
        <w:pStyle w:val="SOWSubL2-ASDEFCON"/>
      </w:pPr>
      <w:r>
        <w:t>for meeting the Surge requirements of the Contract; and</w:t>
      </w:r>
    </w:p>
    <w:p w:rsidR="00DD1722" w:rsidRPr="00F7287D" w:rsidRDefault="00DD1722" w:rsidP="004808D0">
      <w:pPr>
        <w:pStyle w:val="SOWSubL1-ASDEFCON"/>
      </w:pPr>
      <w:proofErr w:type="gramStart"/>
      <w:r w:rsidRPr="00F7287D">
        <w:t>ensure</w:t>
      </w:r>
      <w:proofErr w:type="gramEnd"/>
      <w:r w:rsidRPr="00F7287D">
        <w:t xml:space="preserve"> that those parties (including Subcontractors) who are undertaking Surge-related activities understand their respective responsibilities, the processes to be used, and the time-frames involved.</w:t>
      </w:r>
    </w:p>
    <w:p w:rsidR="00DD1722" w:rsidRDefault="00DD1722" w:rsidP="00AD2B00">
      <w:pPr>
        <w:pStyle w:val="SOWTL2-ASDEFCON"/>
      </w:pPr>
      <w:r>
        <w:t>The Commonwealth uses the SMP to:</w:t>
      </w:r>
    </w:p>
    <w:p w:rsidR="00DD1722" w:rsidRDefault="00DD1722" w:rsidP="004808D0">
      <w:pPr>
        <w:pStyle w:val="SOWSubL1-ASDEFCON"/>
      </w:pPr>
      <w:r>
        <w:t xml:space="preserve">understand </w:t>
      </w:r>
      <w:r w:rsidR="00AC0E01">
        <w:t>how</w:t>
      </w:r>
      <w:r>
        <w:t xml:space="preserve"> the Contractor proposes to </w:t>
      </w:r>
      <w:r w:rsidR="00CD01DE">
        <w:t xml:space="preserve">prepare for and </w:t>
      </w:r>
      <w:r>
        <w:t>meet the Surge requirements of the Contract;</w:t>
      </w:r>
    </w:p>
    <w:p w:rsidR="00904926" w:rsidRDefault="00904926" w:rsidP="00AD2B00">
      <w:pPr>
        <w:pStyle w:val="SOWSubL1-ASDEFCON"/>
      </w:pPr>
      <w:r>
        <w:t>gain assurance that the Contractor’s plans for meeting the Surge requirements will be sound and enable operational requirements to be met;</w:t>
      </w:r>
    </w:p>
    <w:p w:rsidR="00DD1722" w:rsidRDefault="00DD1722" w:rsidP="00AD2B00">
      <w:pPr>
        <w:pStyle w:val="SOWSubL1-ASDEFCON"/>
      </w:pPr>
      <w:r>
        <w:t xml:space="preserve">assist with monitoring the performance of the Contractor under </w:t>
      </w:r>
      <w:r w:rsidR="00AC0E01">
        <w:t>Surge conditions</w:t>
      </w:r>
      <w:r>
        <w:t>; and</w:t>
      </w:r>
    </w:p>
    <w:p w:rsidR="00DD1722" w:rsidRDefault="00DD1722" w:rsidP="00AD2B00">
      <w:pPr>
        <w:pStyle w:val="SOWSubL1-ASDEFCON"/>
      </w:pPr>
      <w:proofErr w:type="gramStart"/>
      <w:r>
        <w:t>identify</w:t>
      </w:r>
      <w:proofErr w:type="gramEnd"/>
      <w:r>
        <w:t xml:space="preserve"> and understand the Contractor’s expectations of the Commonwealth with respect to the Surge requirements of the Contract.</w:t>
      </w:r>
    </w:p>
    <w:p w:rsidR="00DD1722" w:rsidRDefault="00DD1722" w:rsidP="00AD2B00">
      <w:pPr>
        <w:pStyle w:val="SOWHL1-ASDEFCON"/>
      </w:pPr>
      <w:r>
        <w:t>INTER-RELATIONSHIPS</w:t>
      </w:r>
    </w:p>
    <w:p w:rsidR="00AF564E" w:rsidRDefault="00DD1722" w:rsidP="00AD2B00">
      <w:pPr>
        <w:pStyle w:val="SOWTL2-ASDEFCON"/>
      </w:pPr>
      <w:r>
        <w:t xml:space="preserve">The SMP is subordinate to the </w:t>
      </w:r>
      <w:r w:rsidR="00A654C7">
        <w:t>Support Services Management Plan (</w:t>
      </w:r>
      <w:r>
        <w:t>SSMP</w:t>
      </w:r>
      <w:r w:rsidR="00A654C7">
        <w:t>)</w:t>
      </w:r>
      <w:r>
        <w:t>.</w:t>
      </w:r>
    </w:p>
    <w:p w:rsidR="00353A89" w:rsidRDefault="00353A89" w:rsidP="00AD2B00">
      <w:pPr>
        <w:pStyle w:val="SOWTL2-ASDEFCON"/>
      </w:pPr>
      <w:r>
        <w:t>The SMP inter-relates with the following data items, where these data items are required under the Contract:</w:t>
      </w:r>
    </w:p>
    <w:p w:rsidR="00CD01DE" w:rsidRDefault="00CD01DE" w:rsidP="004808D0">
      <w:pPr>
        <w:pStyle w:val="SOWSubL1-ASDEFCON"/>
      </w:pPr>
      <w:r>
        <w:t>Operating Support Plan (OSP)</w:t>
      </w:r>
      <w:r w:rsidR="00BA27D8">
        <w:t>;</w:t>
      </w:r>
    </w:p>
    <w:p w:rsidR="00904926" w:rsidRDefault="00904926" w:rsidP="00AD2B00">
      <w:pPr>
        <w:pStyle w:val="SOWSubL1-ASDEFCON"/>
      </w:pPr>
      <w:r>
        <w:t>Contractor Engineering Management Plan (CEMP);</w:t>
      </w:r>
    </w:p>
    <w:p w:rsidR="00353A89" w:rsidRDefault="00353A89" w:rsidP="00AD2B00">
      <w:pPr>
        <w:pStyle w:val="SOWSubL1-ASDEFCON"/>
      </w:pPr>
      <w:r>
        <w:t>Maintenance Manage</w:t>
      </w:r>
      <w:r w:rsidR="00D25915">
        <w:t>ment Plan (MMP)</w:t>
      </w:r>
      <w:r w:rsidR="00BA27D8">
        <w:t>;</w:t>
      </w:r>
    </w:p>
    <w:p w:rsidR="00353A89" w:rsidRDefault="00353A89" w:rsidP="00AD2B00">
      <w:pPr>
        <w:pStyle w:val="SOWSubL1-ASDEFCON"/>
      </w:pPr>
      <w:r>
        <w:t>Supply Support Plan (SSP)</w:t>
      </w:r>
      <w:r w:rsidR="00BA27D8">
        <w:t>;</w:t>
      </w:r>
      <w:r w:rsidRPr="00353A89">
        <w:t xml:space="preserve"> </w:t>
      </w:r>
      <w:r>
        <w:t>and</w:t>
      </w:r>
    </w:p>
    <w:p w:rsidR="00353A89" w:rsidRDefault="00353A89" w:rsidP="00AD2B00">
      <w:pPr>
        <w:pStyle w:val="SOWSubL1-ASDEFCON"/>
      </w:pPr>
      <w:r>
        <w:t>Training Support Plan (TSP).</w:t>
      </w:r>
    </w:p>
    <w:p w:rsidR="00DD1722" w:rsidRDefault="00DD1722" w:rsidP="00AD2B00">
      <w:pPr>
        <w:pStyle w:val="SOWHL1-ASDEFCON"/>
      </w:pPr>
      <w:r>
        <w:t>APPLICABLE DOCUMENTS</w:t>
      </w:r>
    </w:p>
    <w:p w:rsidR="00DD1722" w:rsidRDefault="00DD1722" w:rsidP="00AD2B00">
      <w:pPr>
        <w:pStyle w:val="SOWTL2-ASDEFCON"/>
      </w:pPr>
      <w:r>
        <w:t>The following document forms a part of this DID to the extent specified herein:</w:t>
      </w:r>
    </w:p>
    <w:tbl>
      <w:tblPr>
        <w:tblW w:w="0" w:type="auto"/>
        <w:tblInd w:w="1134" w:type="dxa"/>
        <w:tblLayout w:type="fixed"/>
        <w:tblLook w:val="0000" w:firstRow="0" w:lastRow="0" w:firstColumn="0" w:lastColumn="0" w:noHBand="0" w:noVBand="0"/>
      </w:tblPr>
      <w:tblGrid>
        <w:gridCol w:w="2845"/>
        <w:gridCol w:w="5047"/>
      </w:tblGrid>
      <w:tr w:rsidR="00DD1722" w:rsidTr="001C3982">
        <w:trPr>
          <w:trHeight w:val="298"/>
        </w:trPr>
        <w:tc>
          <w:tcPr>
            <w:tcW w:w="2845" w:type="dxa"/>
          </w:tcPr>
          <w:p w:rsidR="00DD1722" w:rsidRDefault="00DD1722" w:rsidP="004808D0">
            <w:pPr>
              <w:pStyle w:val="Table10ptText-ASDEFCON"/>
            </w:pPr>
            <w:r>
              <w:t>Nil</w:t>
            </w:r>
          </w:p>
        </w:tc>
        <w:tc>
          <w:tcPr>
            <w:tcW w:w="5047" w:type="dxa"/>
          </w:tcPr>
          <w:p w:rsidR="00DD1722" w:rsidRDefault="00DD1722" w:rsidP="00AD2B00">
            <w:pPr>
              <w:pStyle w:val="Table10ptText-ASDEFCON"/>
            </w:pPr>
          </w:p>
        </w:tc>
      </w:tr>
    </w:tbl>
    <w:p w:rsidR="00DD1722" w:rsidRDefault="00DD1722" w:rsidP="00AD2B00">
      <w:pPr>
        <w:pStyle w:val="SOWHL1-ASDEFCON"/>
      </w:pPr>
      <w:r>
        <w:t>Preparation Instructions</w:t>
      </w:r>
    </w:p>
    <w:p w:rsidR="00DD1722" w:rsidRDefault="00DD1722" w:rsidP="004808D0">
      <w:pPr>
        <w:pStyle w:val="SOWHL2-ASDEFCON"/>
      </w:pPr>
      <w:r>
        <w:t>Generic Format and Content</w:t>
      </w:r>
    </w:p>
    <w:p w:rsidR="00DD1722" w:rsidRDefault="00DD1722" w:rsidP="004808D0">
      <w:pPr>
        <w:pStyle w:val="SOWTL3-ASDEFCON"/>
      </w:pPr>
      <w:r>
        <w:t>The data item shall comply with the general format, content and preparation instructions contained in the CDRL clause entitled ‘General Requirements for Data Items’.</w:t>
      </w:r>
    </w:p>
    <w:p w:rsidR="00431161" w:rsidRDefault="00431161" w:rsidP="00AD2B00">
      <w:pPr>
        <w:pStyle w:val="SOWTL3-ASDEFCON"/>
      </w:pPr>
      <w:r>
        <w:lastRenderedPageBreak/>
        <w:t xml:space="preserve">When the Contract has specified delivery of another </w:t>
      </w:r>
      <w:r w:rsidR="00353B2E">
        <w:t xml:space="preserve">data item </w:t>
      </w:r>
      <w:r>
        <w:t xml:space="preserve">that contains aspects of the required information, the </w:t>
      </w:r>
      <w:r w:rsidR="00904926">
        <w:t>SMP</w:t>
      </w:r>
      <w:r w:rsidR="000C278B">
        <w:t xml:space="preserve"> shall</w:t>
      </w:r>
      <w:r>
        <w:t xml:space="preserve"> summarise these aspects and refer to the other </w:t>
      </w:r>
      <w:r w:rsidR="00353B2E">
        <w:t>data item</w:t>
      </w:r>
      <w:r>
        <w:t>.</w:t>
      </w:r>
    </w:p>
    <w:p w:rsidR="00AC0E01" w:rsidRDefault="00AC0E01" w:rsidP="00AD2B00">
      <w:pPr>
        <w:pStyle w:val="SOWTL3-ASDEFCON"/>
      </w:pPr>
      <w:r>
        <w:t>The data item shall include a traceability matrix that defines how each specific content requirement, as contained in this DID, is addressed by sections within the data item.</w:t>
      </w:r>
    </w:p>
    <w:p w:rsidR="00BB754D" w:rsidRDefault="00BB754D" w:rsidP="00AD2B00">
      <w:pPr>
        <w:pStyle w:val="SOWTL3-ASDEFCON"/>
      </w:pPr>
      <w:r>
        <w:t>The SMP shall be labelled and handled appropriate to the security classification level advised by the Commonwealth Representative.</w:t>
      </w:r>
    </w:p>
    <w:p w:rsidR="00DD1722" w:rsidRDefault="00DD1722" w:rsidP="004808D0">
      <w:pPr>
        <w:pStyle w:val="SOWHL2-ASDEFCON"/>
      </w:pPr>
      <w:r>
        <w:t>Specific Content</w:t>
      </w:r>
    </w:p>
    <w:p w:rsidR="00DD1722" w:rsidRDefault="00DD1722" w:rsidP="004808D0">
      <w:pPr>
        <w:pStyle w:val="SOWHL3-ASDEFCON"/>
      </w:pPr>
      <w:bookmarkStart w:id="3" w:name="_Toc520082275"/>
      <w:r>
        <w:t>General</w:t>
      </w:r>
      <w:bookmarkEnd w:id="3"/>
    </w:p>
    <w:p w:rsidR="00277224" w:rsidRDefault="00277224" w:rsidP="004808D0">
      <w:pPr>
        <w:pStyle w:val="SOWTL4-ASDEFCON"/>
      </w:pPr>
      <w:r>
        <w:t xml:space="preserve">The SMP shall describe the objectives, scope, constraints, and assumptions associated with the Contractor’s activities </w:t>
      </w:r>
      <w:r w:rsidR="00155800">
        <w:t>for addressing</w:t>
      </w:r>
      <w:r>
        <w:t xml:space="preserve"> the Surge requirements of the Contract.</w:t>
      </w:r>
    </w:p>
    <w:p w:rsidR="00DD1722" w:rsidRDefault="00DD1722" w:rsidP="00AD2B00">
      <w:pPr>
        <w:pStyle w:val="SOWTL4-ASDEFCON"/>
      </w:pPr>
      <w:r>
        <w:t xml:space="preserve">If </w:t>
      </w:r>
      <w:r w:rsidR="009A52DA">
        <w:t xml:space="preserve">more than one </w:t>
      </w:r>
      <w:r>
        <w:t xml:space="preserve">level of Surge </w:t>
      </w:r>
      <w:r w:rsidR="009A52DA">
        <w:t xml:space="preserve">is </w:t>
      </w:r>
      <w:r>
        <w:t xml:space="preserve">defined under the Contract, such as </w:t>
      </w:r>
      <w:r w:rsidR="00277224">
        <w:t xml:space="preserve">differing </w:t>
      </w:r>
      <w:r w:rsidR="00BA7A6E">
        <w:t xml:space="preserve">levels of </w:t>
      </w:r>
      <w:r>
        <w:t xml:space="preserve">Exigency </w:t>
      </w:r>
      <w:r w:rsidR="00BA7A6E">
        <w:t>or</w:t>
      </w:r>
      <w:r w:rsidR="00B24557">
        <w:t xml:space="preserve"> both Exigency and</w:t>
      </w:r>
      <w:r>
        <w:t xml:space="preserve"> Contingency, the SMP shall detail the specific issues, assumptions, constraints, risks, arrangements, systems, and processes associated with each level.</w:t>
      </w:r>
    </w:p>
    <w:p w:rsidR="00DD1722" w:rsidRDefault="00DD1722" w:rsidP="004808D0">
      <w:pPr>
        <w:pStyle w:val="SOWHL3-ASDEFCON"/>
      </w:pPr>
      <w:r>
        <w:t>Surge Management Organisation</w:t>
      </w:r>
    </w:p>
    <w:p w:rsidR="00DD1722" w:rsidRDefault="00DD1722" w:rsidP="00AD2B00">
      <w:pPr>
        <w:pStyle w:val="SOWTL4-ASDEFCON"/>
      </w:pPr>
      <w:r>
        <w:t xml:space="preserve">If different from the </w:t>
      </w:r>
      <w:r w:rsidR="006E4EBA">
        <w:t xml:space="preserve">management organisation described within the </w:t>
      </w:r>
      <w:r>
        <w:t>SSMP, the SMP shall describe</w:t>
      </w:r>
      <w:r w:rsidR="00155800" w:rsidRPr="00155800">
        <w:t xml:space="preserve"> </w:t>
      </w:r>
      <w:r w:rsidR="00155800">
        <w:t xml:space="preserve">the Contractor’s and Approved Subcontractors’ organisational </w:t>
      </w:r>
      <w:r w:rsidR="00F7287D">
        <w:t>arrangement</w:t>
      </w:r>
      <w:r w:rsidR="00155800">
        <w:t xml:space="preserve">s for </w:t>
      </w:r>
      <w:r w:rsidR="00F7287D">
        <w:t>meet</w:t>
      </w:r>
      <w:r w:rsidR="00155800">
        <w:t xml:space="preserve">ing </w:t>
      </w:r>
      <w:r w:rsidR="00F7287D">
        <w:t xml:space="preserve">the </w:t>
      </w:r>
      <w:r w:rsidR="00155800">
        <w:t>Surge requirements</w:t>
      </w:r>
      <w:r w:rsidR="00F7287D">
        <w:t xml:space="preserve"> of the Contract</w:t>
      </w:r>
      <w:r w:rsidR="00155800">
        <w:t>,</w:t>
      </w:r>
      <w:r w:rsidR="00155800" w:rsidRPr="00155800">
        <w:t xml:space="preserve"> </w:t>
      </w:r>
      <w:r w:rsidR="00155800">
        <w:t>including</w:t>
      </w:r>
      <w:r>
        <w:t>:</w:t>
      </w:r>
    </w:p>
    <w:p w:rsidR="00ED1ABD" w:rsidRDefault="00ED1ABD" w:rsidP="004808D0">
      <w:pPr>
        <w:pStyle w:val="SOWSubL1-ASDEFCON"/>
      </w:pPr>
      <w:r>
        <w:t>the responsibilities of all parties involved in the Contractor’s activities related to Surge, including the identification of the individual within the Contractor’s organisation who will have managerial responsibility and accountability for meeting the Surge requirements of the Contract;</w:t>
      </w:r>
    </w:p>
    <w:p w:rsidR="00DD1722" w:rsidRPr="00ED1ABD" w:rsidRDefault="00155800" w:rsidP="00AD2B00">
      <w:pPr>
        <w:pStyle w:val="SOWSubL1-ASDEFCON"/>
      </w:pPr>
      <w:r w:rsidRPr="00ED1ABD">
        <w:t xml:space="preserve">any </w:t>
      </w:r>
      <w:r w:rsidR="00D904B5" w:rsidRPr="00ED1ABD">
        <w:t xml:space="preserve">new or changed </w:t>
      </w:r>
      <w:r w:rsidR="00495648">
        <w:t>organisational units (</w:t>
      </w:r>
      <w:proofErr w:type="spellStart"/>
      <w:r w:rsidR="00495648">
        <w:t>e</w:t>
      </w:r>
      <w:r w:rsidRPr="00ED1ABD">
        <w:t>g</w:t>
      </w:r>
      <w:proofErr w:type="spellEnd"/>
      <w:r w:rsidR="00495648">
        <w:t>,</w:t>
      </w:r>
      <w:r w:rsidRPr="00ED1ABD">
        <w:t xml:space="preserve"> </w:t>
      </w:r>
      <w:r w:rsidR="00B24557" w:rsidRPr="00ED1ABD">
        <w:t xml:space="preserve">new locations or </w:t>
      </w:r>
      <w:r w:rsidRPr="00ED1ABD">
        <w:t>additional work</w:t>
      </w:r>
      <w:r w:rsidR="00B24557" w:rsidRPr="00ED1ABD">
        <w:t>ing</w:t>
      </w:r>
      <w:r w:rsidRPr="00ED1ABD">
        <w:t xml:space="preserve"> shifts)</w:t>
      </w:r>
      <w:r w:rsidR="00DD1722" w:rsidRPr="00ED1ABD">
        <w:t>;</w:t>
      </w:r>
    </w:p>
    <w:p w:rsidR="00DD1722" w:rsidRPr="00ED1ABD" w:rsidRDefault="00D904B5" w:rsidP="00AD2B00">
      <w:pPr>
        <w:pStyle w:val="SOWSubL1-ASDEFCON"/>
      </w:pPr>
      <w:r w:rsidRPr="00ED1ABD">
        <w:t xml:space="preserve">any </w:t>
      </w:r>
      <w:r w:rsidR="006E4EBA" w:rsidRPr="00ED1ABD">
        <w:t xml:space="preserve">new or changed </w:t>
      </w:r>
      <w:r w:rsidR="00DD1722" w:rsidRPr="00ED1ABD">
        <w:t xml:space="preserve">relationships between </w:t>
      </w:r>
      <w:r w:rsidR="00155800" w:rsidRPr="00ED1ABD">
        <w:t>the</w:t>
      </w:r>
      <w:r w:rsidR="009839F1" w:rsidRPr="00ED1ABD">
        <w:t xml:space="preserve"> organisational units</w:t>
      </w:r>
      <w:r w:rsidR="00F7287D" w:rsidRPr="00ED1ABD">
        <w:t xml:space="preserve"> involved</w:t>
      </w:r>
      <w:r w:rsidR="00ED1ABD" w:rsidRPr="00ED1ABD">
        <w:t>, including any changes to the lines of authority</w:t>
      </w:r>
      <w:r w:rsidR="00DD1722" w:rsidRPr="00ED1ABD">
        <w:t>; and</w:t>
      </w:r>
    </w:p>
    <w:p w:rsidR="00DD1722" w:rsidRPr="00ED1ABD" w:rsidRDefault="00B24557" w:rsidP="00AD2B00">
      <w:pPr>
        <w:pStyle w:val="SOWSubL1-ASDEFCON"/>
      </w:pPr>
      <w:proofErr w:type="gramStart"/>
      <w:r w:rsidRPr="00ED1ABD">
        <w:t>the</w:t>
      </w:r>
      <w:proofErr w:type="gramEnd"/>
      <w:r w:rsidRPr="00ED1ABD">
        <w:t xml:space="preserve"> Surge-related </w:t>
      </w:r>
      <w:r w:rsidR="00DD1722" w:rsidRPr="00ED1ABD">
        <w:t xml:space="preserve">responsibilities of </w:t>
      </w:r>
      <w:r w:rsidR="00265B8B" w:rsidRPr="00ED1ABD">
        <w:t>the</w:t>
      </w:r>
      <w:r w:rsidR="009839F1" w:rsidRPr="00ED1ABD">
        <w:t xml:space="preserve"> organisational units</w:t>
      </w:r>
      <w:r w:rsidR="00432DB5" w:rsidRPr="00ED1ABD">
        <w:t xml:space="preserve"> involved</w:t>
      </w:r>
      <w:r w:rsidR="00F7287D" w:rsidRPr="00ED1ABD">
        <w:t>.</w:t>
      </w:r>
    </w:p>
    <w:p w:rsidR="00DD1722" w:rsidRDefault="00DD1722" w:rsidP="004808D0">
      <w:pPr>
        <w:pStyle w:val="SOWHL3-ASDEFCON"/>
      </w:pPr>
      <w:r>
        <w:t>Surge Management Systems and Processes</w:t>
      </w:r>
    </w:p>
    <w:p w:rsidR="00DD1722" w:rsidRDefault="00DD1722" w:rsidP="00AD2B00">
      <w:pPr>
        <w:pStyle w:val="SOWTL4-ASDEFCON"/>
      </w:pPr>
      <w:bookmarkStart w:id="4" w:name="_Ref39978962"/>
      <w:r>
        <w:t xml:space="preserve">The SMP shall describe the Contractor’s strategies, </w:t>
      </w:r>
      <w:r w:rsidR="00155800">
        <w:t xml:space="preserve">management approach, </w:t>
      </w:r>
      <w:r>
        <w:t xml:space="preserve">methodologies, systems and processes </w:t>
      </w:r>
      <w:r w:rsidR="00F16352">
        <w:t xml:space="preserve">to be used when addressing </w:t>
      </w:r>
      <w:r>
        <w:t>Surge</w:t>
      </w:r>
      <w:r w:rsidR="006B3F90">
        <w:t>, including:</w:t>
      </w:r>
      <w:bookmarkEnd w:id="4"/>
    </w:p>
    <w:p w:rsidR="00265B8B" w:rsidRDefault="00DD1722" w:rsidP="004808D0">
      <w:pPr>
        <w:pStyle w:val="SOWSubL1-ASDEFCON"/>
      </w:pPr>
      <w:r>
        <w:t>the major</w:t>
      </w:r>
      <w:r w:rsidR="00265B8B">
        <w:t xml:space="preserve"> Surge-related</w:t>
      </w:r>
      <w:r>
        <w:t xml:space="preserve"> activities to be undertaken, </w:t>
      </w:r>
      <w:r w:rsidR="00265B8B">
        <w:t>including details of:</w:t>
      </w:r>
    </w:p>
    <w:p w:rsidR="00F478AD" w:rsidRPr="00F7287D" w:rsidRDefault="00F478AD" w:rsidP="00AD2B00">
      <w:pPr>
        <w:pStyle w:val="SOWSubL2-ASDEFCON"/>
      </w:pPr>
      <w:r w:rsidRPr="00F7287D">
        <w:t xml:space="preserve">the scope of </w:t>
      </w:r>
      <w:r w:rsidR="006B3F90" w:rsidRPr="00F7287D">
        <w:t>each</w:t>
      </w:r>
      <w:r w:rsidRPr="00F7287D">
        <w:t xml:space="preserve"> activity;</w:t>
      </w:r>
    </w:p>
    <w:p w:rsidR="00265B8B" w:rsidRDefault="00DD1722" w:rsidP="00AD2B00">
      <w:pPr>
        <w:pStyle w:val="SOWSubL2-ASDEFCON"/>
      </w:pPr>
      <w:r>
        <w:t>when</w:t>
      </w:r>
      <w:r w:rsidR="00F478AD">
        <w:t xml:space="preserve"> </w:t>
      </w:r>
      <w:r w:rsidR="006B3F90">
        <w:t>each</w:t>
      </w:r>
      <w:r w:rsidR="00F478AD">
        <w:t xml:space="preserve"> activity is performed</w:t>
      </w:r>
      <w:r>
        <w:t xml:space="preserve"> </w:t>
      </w:r>
      <w:r w:rsidR="00F478AD">
        <w:t>with respect to preparing for, sustaining</w:t>
      </w:r>
      <w:r w:rsidR="0056118F">
        <w:t xml:space="preserve"> at different levels of effort, </w:t>
      </w:r>
      <w:r w:rsidR="00265B8B">
        <w:t>or recover</w:t>
      </w:r>
      <w:r w:rsidR="00F478AD">
        <w:t>ing</w:t>
      </w:r>
      <w:r w:rsidR="00265B8B">
        <w:t xml:space="preserve"> from</w:t>
      </w:r>
      <w:r w:rsidR="00F16352">
        <w:t>,</w:t>
      </w:r>
      <w:r w:rsidR="00265B8B">
        <w:t xml:space="preserve"> </w:t>
      </w:r>
      <w:r w:rsidR="0056118F">
        <w:t>a</w:t>
      </w:r>
      <w:r w:rsidR="00265B8B">
        <w:t xml:space="preserve"> </w:t>
      </w:r>
      <w:r w:rsidR="00F478AD">
        <w:t xml:space="preserve">period of </w:t>
      </w:r>
      <w:r w:rsidR="00265B8B">
        <w:t xml:space="preserve">Surge; </w:t>
      </w:r>
      <w:r>
        <w:t>and</w:t>
      </w:r>
    </w:p>
    <w:p w:rsidR="00DD1722" w:rsidRDefault="00265B8B" w:rsidP="00AD2B00">
      <w:pPr>
        <w:pStyle w:val="SOWSubL2-ASDEFCON"/>
      </w:pPr>
      <w:r>
        <w:t xml:space="preserve">the </w:t>
      </w:r>
      <w:r w:rsidR="006B3F90">
        <w:t xml:space="preserve">Contractor and Subcontractor </w:t>
      </w:r>
      <w:r>
        <w:t>organisation</w:t>
      </w:r>
      <w:r w:rsidR="00F478AD">
        <w:t xml:space="preserve">al units performing </w:t>
      </w:r>
      <w:r w:rsidR="006B3F90">
        <w:t>each</w:t>
      </w:r>
      <w:r w:rsidR="00F478AD">
        <w:t xml:space="preserve"> activity</w:t>
      </w:r>
      <w:r w:rsidR="00DD1722">
        <w:t>;</w:t>
      </w:r>
    </w:p>
    <w:p w:rsidR="00DD1722" w:rsidRDefault="00DD1722" w:rsidP="00AD2B00">
      <w:pPr>
        <w:pStyle w:val="SOWSubL1-ASDEFCON"/>
      </w:pPr>
      <w:r>
        <w:t>the integration of Subcontractors into the Contractor’s Surge-related activities</w:t>
      </w:r>
      <w:r w:rsidR="00F478AD">
        <w:t xml:space="preserve"> where this differs from the ‘normal’ provision of Services</w:t>
      </w:r>
      <w:r>
        <w:t>;</w:t>
      </w:r>
    </w:p>
    <w:p w:rsidR="00DD1722" w:rsidRDefault="00DD1722" w:rsidP="00AD2B00">
      <w:pPr>
        <w:pStyle w:val="SOWSubL1-ASDEFCON"/>
      </w:pPr>
      <w:r>
        <w:t>personnel (</w:t>
      </w:r>
      <w:r w:rsidR="00265B8B">
        <w:t xml:space="preserve">in terms of </w:t>
      </w:r>
      <w:r>
        <w:t xml:space="preserve">numbers and </w:t>
      </w:r>
      <w:r w:rsidR="00F478AD">
        <w:t>occupation</w:t>
      </w:r>
      <w:r w:rsidR="00432DB5">
        <w:t>s</w:t>
      </w:r>
      <w:r w:rsidR="00F478AD">
        <w:t xml:space="preserve"> or </w:t>
      </w:r>
      <w:r w:rsidR="00265B8B">
        <w:t>trade groups</w:t>
      </w:r>
      <w:r>
        <w:t xml:space="preserve">) required by the Contractor and </w:t>
      </w:r>
      <w:r w:rsidR="00265B8B">
        <w:t xml:space="preserve">Approved </w:t>
      </w:r>
      <w:r>
        <w:t xml:space="preserve">Subcontractors to meet the Surge requirements, including the proposed sources for obtaining </w:t>
      </w:r>
      <w:r w:rsidR="00ED1ABD">
        <w:t xml:space="preserve">any additional </w:t>
      </w:r>
      <w:r>
        <w:t>personnel</w:t>
      </w:r>
      <w:r w:rsidR="00ED1ABD">
        <w:t xml:space="preserve"> that may be required</w:t>
      </w:r>
      <w:r>
        <w:t>;</w:t>
      </w:r>
    </w:p>
    <w:p w:rsidR="00C80652" w:rsidRDefault="00C80652" w:rsidP="00AD2B00">
      <w:pPr>
        <w:pStyle w:val="SOWSubL1-ASDEFCON"/>
      </w:pPr>
      <w:r>
        <w:t>arrangements that deal with the withdrawal of MRU</w:t>
      </w:r>
      <w:r w:rsidR="009839F1">
        <w:t xml:space="preserve"> from the Contractor’s and/or Subcontractors’ organisations</w:t>
      </w:r>
      <w:r>
        <w:t>, if MRU is require</w:t>
      </w:r>
      <w:r w:rsidR="00341EEF">
        <w:t xml:space="preserve">d under </w:t>
      </w:r>
      <w:r>
        <w:t>the Contract;</w:t>
      </w:r>
    </w:p>
    <w:p w:rsidR="00DD1722" w:rsidRDefault="00DD1722" w:rsidP="00AD2B00">
      <w:pPr>
        <w:pStyle w:val="SOWSubL1-ASDEFCON"/>
      </w:pPr>
      <w:r>
        <w:t>the integration of the Surge-related activities with the ‘normal’ provision of Services; and</w:t>
      </w:r>
    </w:p>
    <w:p w:rsidR="00DD1722" w:rsidRDefault="00DD1722" w:rsidP="00AD2B00">
      <w:pPr>
        <w:pStyle w:val="SOWSubL1-ASDEFCON"/>
      </w:pPr>
      <w:proofErr w:type="gramStart"/>
      <w:r>
        <w:lastRenderedPageBreak/>
        <w:t>the</w:t>
      </w:r>
      <w:proofErr w:type="gramEnd"/>
      <w:r>
        <w:t xml:space="preserve"> expectations of the Contractor with respect to the Commonwealth, including proposed </w:t>
      </w:r>
      <w:r w:rsidR="00F478AD">
        <w:t>changes to</w:t>
      </w:r>
      <w:r w:rsidR="00A27651">
        <w:t xml:space="preserve"> the</w:t>
      </w:r>
      <w:r w:rsidR="00F478AD">
        <w:t xml:space="preserve"> </w:t>
      </w:r>
      <w:r>
        <w:t xml:space="preserve">interfaces and interactions with Commonwealth agencies external to the </w:t>
      </w:r>
      <w:r w:rsidR="00265B8B">
        <w:t>Commonwealth Representative</w:t>
      </w:r>
      <w:r>
        <w:t>.</w:t>
      </w:r>
    </w:p>
    <w:p w:rsidR="009839F1" w:rsidRDefault="009839F1" w:rsidP="00AD2B00">
      <w:pPr>
        <w:pStyle w:val="SOWTL4-ASDEFCON"/>
      </w:pPr>
      <w:r>
        <w:t>The SMP shall identify those Services and/or activities most likely to be impacted by the variations in demand associated with Surge requirements, and shall identify the options available to the Contractor to prepare for, and generate, any additional required capacity and/or resources.  The SMP shall also identify how long the Contractor will be able to sustain the elevated capacity under each option and what criteria will be used to identify both the appropriate initial resourcing option and, if appropriate, the points at which there is a need to transition between options.</w:t>
      </w:r>
    </w:p>
    <w:p w:rsidR="00ED1ABD" w:rsidRDefault="00ED1ABD" w:rsidP="00AD2B00">
      <w:pPr>
        <w:pStyle w:val="SOWTL4-ASDEFCON"/>
      </w:pPr>
      <w:r w:rsidRPr="00ED1ABD">
        <w:t xml:space="preserve">Any risks associated with these activities shall be documented in the Risk Register in accordance with the Approved </w:t>
      </w:r>
      <w:r>
        <w:t>SSMP</w:t>
      </w:r>
      <w:r w:rsidRPr="00ED1ABD">
        <w:t xml:space="preserve">; however, the SMP shall describe the risk-management strategies </w:t>
      </w:r>
      <w:r w:rsidR="005B4F15">
        <w:t xml:space="preserve">and responsibilities </w:t>
      </w:r>
      <w:r w:rsidRPr="00ED1ABD">
        <w:t>associated with any global risks relating to the Surge requirements.</w:t>
      </w:r>
    </w:p>
    <w:p w:rsidR="007B3666" w:rsidRDefault="007B3666" w:rsidP="00AD2B00">
      <w:pPr>
        <w:pStyle w:val="SOWTL4-ASDEFCON"/>
      </w:pPr>
      <w:r>
        <w:t xml:space="preserve">The SMP shall describe </w:t>
      </w:r>
      <w:r w:rsidR="00A27651">
        <w:t>the processes and tools that</w:t>
      </w:r>
      <w:r>
        <w:t xml:space="preserve"> </w:t>
      </w:r>
      <w:r w:rsidR="00A27651">
        <w:t xml:space="preserve">the Contractor will use to </w:t>
      </w:r>
      <w:r>
        <w:t xml:space="preserve">monitor </w:t>
      </w:r>
      <w:r w:rsidR="00A27651">
        <w:t xml:space="preserve">and record the Contractor’s performance of Surge-related </w:t>
      </w:r>
      <w:r w:rsidR="00ED1ABD">
        <w:t>activities</w:t>
      </w:r>
      <w:r w:rsidR="00A27651">
        <w:t xml:space="preserve">, including changes to the </w:t>
      </w:r>
      <w:r w:rsidR="00321698">
        <w:t>provision of ‘normal’ Services.</w:t>
      </w:r>
    </w:p>
    <w:p w:rsidR="00432DB5" w:rsidRDefault="00432DB5" w:rsidP="004808D0">
      <w:pPr>
        <w:pStyle w:val="SOWHL3-ASDEFCON"/>
      </w:pPr>
      <w:r>
        <w:t>Reserve Stock</w:t>
      </w:r>
    </w:p>
    <w:p w:rsidR="00DD1722" w:rsidRDefault="00DD1722" w:rsidP="00AD2B00">
      <w:pPr>
        <w:pStyle w:val="SOWTL4-ASDEFCON"/>
      </w:pPr>
      <w:r>
        <w:t>If management of Reserve Stock is require</w:t>
      </w:r>
      <w:r w:rsidR="00341EEF">
        <w:t xml:space="preserve">d under </w:t>
      </w:r>
      <w:r>
        <w:t>the Contract, the SMP shall detail the systems, processes and procedures for managing Reserve Stock, including:</w:t>
      </w:r>
    </w:p>
    <w:p w:rsidR="00DD1722" w:rsidRDefault="00DD1722" w:rsidP="004808D0">
      <w:pPr>
        <w:pStyle w:val="SOWSubL1-ASDEFCON"/>
      </w:pPr>
      <w:r>
        <w:t>the release of Reserve Stock and the identification of those personnel with authority to approve the release of Reserve Stock;</w:t>
      </w:r>
    </w:p>
    <w:p w:rsidR="00DD1722" w:rsidRDefault="00DD1722" w:rsidP="00AD2B00">
      <w:pPr>
        <w:pStyle w:val="SOWSubL1-ASDEFCON"/>
      </w:pPr>
      <w:r>
        <w:t>interactions with the Commonwealth for the management of Reserve Stock; and</w:t>
      </w:r>
    </w:p>
    <w:p w:rsidR="00DD1722" w:rsidRDefault="00DD1722" w:rsidP="00AD2B00">
      <w:pPr>
        <w:pStyle w:val="SOWSubL1-ASDEFCON"/>
      </w:pPr>
      <w:proofErr w:type="gramStart"/>
      <w:r>
        <w:t>recovery</w:t>
      </w:r>
      <w:proofErr w:type="gramEnd"/>
      <w:r>
        <w:t xml:space="preserve"> of </w:t>
      </w:r>
      <w:r w:rsidR="00D157B5">
        <w:t>Reserve Stockholding Level (</w:t>
      </w:r>
      <w:r>
        <w:t>RSL</w:t>
      </w:r>
      <w:r w:rsidR="00D157B5">
        <w:t>)</w:t>
      </w:r>
      <w:r>
        <w:t xml:space="preserve"> after the period of Surge has ceased.</w:t>
      </w:r>
    </w:p>
    <w:p w:rsidR="00ED1ABD" w:rsidRDefault="00ED1ABD" w:rsidP="004808D0">
      <w:pPr>
        <w:pStyle w:val="SOWHL3-ASDEFCON"/>
      </w:pPr>
      <w:r>
        <w:t xml:space="preserve">Contingency Maintenance </w:t>
      </w:r>
    </w:p>
    <w:p w:rsidR="00ED1ABD" w:rsidRDefault="00ED1ABD" w:rsidP="00AD2B00">
      <w:pPr>
        <w:pStyle w:val="SOWTL4-ASDEFCON"/>
      </w:pPr>
      <w:r>
        <w:t>If Contingency Maintenance (CMAINT) is require</w:t>
      </w:r>
      <w:r w:rsidR="00341EEF">
        <w:t xml:space="preserve">d under </w:t>
      </w:r>
      <w:r>
        <w:t>the Contract, the SMP shall detail the Contractor’s proposed CMAINT recovery program to be implemented following a period of Surge.</w:t>
      </w:r>
    </w:p>
    <w:p w:rsidR="00DD1722" w:rsidRDefault="00DD1722" w:rsidP="00AD2B00">
      <w:pPr>
        <w:pStyle w:val="SOWTL4-ASDEFCON"/>
      </w:pPr>
      <w:r>
        <w:t>If support to Battle Damage Repair (BDR) is require</w:t>
      </w:r>
      <w:r w:rsidR="00341EEF">
        <w:t xml:space="preserve">d under </w:t>
      </w:r>
      <w:r>
        <w:t>the Contract, the SMP shall detail the systems, processes and procedures that the Contractor will utilise to provide support to BDR, including:</w:t>
      </w:r>
    </w:p>
    <w:p w:rsidR="00DD1722" w:rsidRDefault="00DD1722" w:rsidP="004808D0">
      <w:pPr>
        <w:pStyle w:val="SOWSubL1-ASDEFCON"/>
      </w:pPr>
      <w:r>
        <w:t>the provision of technical advice</w:t>
      </w:r>
      <w:r w:rsidR="00070601">
        <w:t xml:space="preserve"> to Defence units undertaking BDR</w:t>
      </w:r>
      <w:r>
        <w:t>;</w:t>
      </w:r>
    </w:p>
    <w:p w:rsidR="00070601" w:rsidRDefault="00070601" w:rsidP="00AD2B00">
      <w:pPr>
        <w:pStyle w:val="SOWSubL1-ASDEFCON"/>
      </w:pPr>
      <w:r>
        <w:t>the provision of BDR Services, if applicable;</w:t>
      </w:r>
    </w:p>
    <w:p w:rsidR="00DD1722" w:rsidRDefault="00DD1722" w:rsidP="00AD2B00">
      <w:pPr>
        <w:pStyle w:val="SOWSubL1-ASDEFCON"/>
      </w:pPr>
      <w:r>
        <w:t xml:space="preserve">the retrospective application of </w:t>
      </w:r>
      <w:r w:rsidR="00156622">
        <w:t xml:space="preserve">ADF </w:t>
      </w:r>
      <w:r>
        <w:t xml:space="preserve">regulatory </w:t>
      </w:r>
      <w:r w:rsidR="00156622">
        <w:t xml:space="preserve">/ assurance framework </w:t>
      </w:r>
      <w:r>
        <w:t>requirements to evaluate BDR schemes implemented during a period of Surge;</w:t>
      </w:r>
    </w:p>
    <w:p w:rsidR="00DD1722" w:rsidRDefault="00DD1722" w:rsidP="00AD2B00">
      <w:pPr>
        <w:pStyle w:val="SOWSubL1-ASDEFCON"/>
      </w:pPr>
      <w:r>
        <w:t>maintaining a record of incorporated repairs; and</w:t>
      </w:r>
    </w:p>
    <w:p w:rsidR="00DD1722" w:rsidRDefault="00DD1722" w:rsidP="00AD2B00">
      <w:pPr>
        <w:pStyle w:val="SOWSubL1-ASDEFCON"/>
      </w:pPr>
      <w:proofErr w:type="gramStart"/>
      <w:r>
        <w:t>the</w:t>
      </w:r>
      <w:proofErr w:type="gramEnd"/>
      <w:r>
        <w:t xml:space="preserve"> design of subsequent repairs to restore the Mission System (if applicable) and other equipment to their respective certification baselines.</w:t>
      </w:r>
    </w:p>
    <w:p w:rsidR="00DD1722" w:rsidRDefault="00DD1722" w:rsidP="004808D0">
      <w:pPr>
        <w:pStyle w:val="SOWHL3-ASDEFCON"/>
      </w:pPr>
      <w:r>
        <w:t>Surge Limitations</w:t>
      </w:r>
    </w:p>
    <w:p w:rsidR="00DD1722" w:rsidRDefault="00070601" w:rsidP="00AD2B00">
      <w:pPr>
        <w:pStyle w:val="SOWTL4-ASDEFCON"/>
      </w:pPr>
      <w:r>
        <w:t>T</w:t>
      </w:r>
      <w:r w:rsidR="00DD1722">
        <w:t>he SMP shall identify</w:t>
      </w:r>
      <w:r>
        <w:t>,</w:t>
      </w:r>
      <w:r w:rsidR="00DD1722">
        <w:t xml:space="preserve"> against each Service requirement in the SOW:</w:t>
      </w:r>
    </w:p>
    <w:p w:rsidR="00DD1722" w:rsidRDefault="00DD1722" w:rsidP="004808D0">
      <w:pPr>
        <w:pStyle w:val="SOWSubL1-ASDEFCON"/>
      </w:pPr>
      <w:r>
        <w:t>those Services for which the Contractor is able to meet the full scope of the requirements for all Surge levels;</w:t>
      </w:r>
    </w:p>
    <w:p w:rsidR="00DD1722" w:rsidRDefault="00DD1722" w:rsidP="00AD2B00">
      <w:pPr>
        <w:pStyle w:val="SOWSubL1-ASDEFCON"/>
      </w:pPr>
      <w:r>
        <w:t>those Services for which the Contractor is unable to meet the requirements for all levels of Surge</w:t>
      </w:r>
      <w:r w:rsidR="00731F07">
        <w:t>,</w:t>
      </w:r>
      <w:r>
        <w:t xml:space="preserve"> because:</w:t>
      </w:r>
    </w:p>
    <w:p w:rsidR="00DD1722" w:rsidRDefault="00DD1722" w:rsidP="00AD2B00">
      <w:pPr>
        <w:pStyle w:val="SOWSubL2-ASDEFCON"/>
      </w:pPr>
      <w:r>
        <w:t>Surge requirements are not applicable to those Services; or</w:t>
      </w:r>
    </w:p>
    <w:p w:rsidR="00DD1722" w:rsidRDefault="00DD1722" w:rsidP="00AD2B00">
      <w:pPr>
        <w:pStyle w:val="SOWSubL2-ASDEFCON"/>
      </w:pPr>
      <w:r>
        <w:t xml:space="preserve">the </w:t>
      </w:r>
      <w:r w:rsidR="00731F07">
        <w:t>res</w:t>
      </w:r>
      <w:r w:rsidR="007F09AC">
        <w:t>o</w:t>
      </w:r>
      <w:r w:rsidR="00731F07">
        <w:t xml:space="preserve">urces needed to meet </w:t>
      </w:r>
      <w:r>
        <w:t>Surge requirements are constrain</w:t>
      </w:r>
      <w:r w:rsidR="00731F07">
        <w:t>ed by factors</w:t>
      </w:r>
      <w:r>
        <w:t xml:space="preserve"> outside </w:t>
      </w:r>
      <w:r w:rsidR="00731F07">
        <w:t xml:space="preserve">of </w:t>
      </w:r>
      <w:r>
        <w:t>the Contractor’s reasonable control (</w:t>
      </w:r>
      <w:proofErr w:type="spellStart"/>
      <w:r>
        <w:t>eg</w:t>
      </w:r>
      <w:proofErr w:type="spellEnd"/>
      <w:r>
        <w:t xml:space="preserve">, </w:t>
      </w:r>
      <w:r w:rsidR="005B4F15">
        <w:t>F</w:t>
      </w:r>
      <w:r>
        <w:t>acilities (including GFF) or GFE constraints); and</w:t>
      </w:r>
    </w:p>
    <w:p w:rsidR="00DD1722" w:rsidRDefault="00DD1722" w:rsidP="00AD2B00">
      <w:pPr>
        <w:pStyle w:val="SOWSubL1-ASDEFCON"/>
      </w:pPr>
      <w:proofErr w:type="gramStart"/>
      <w:r>
        <w:lastRenderedPageBreak/>
        <w:t>those</w:t>
      </w:r>
      <w:proofErr w:type="gramEnd"/>
      <w:r>
        <w:t xml:space="preserve"> Services for which the Contractor is unable to </w:t>
      </w:r>
      <w:r w:rsidR="00731F07">
        <w:t xml:space="preserve">achieve </w:t>
      </w:r>
      <w:r>
        <w:t>the full scope of the Surge requirements, but is willing to use its best endeavours towards meeting those requirements.</w:t>
      </w:r>
    </w:p>
    <w:sectPr w:rsidR="00DD1722" w:rsidSect="00AD2B00">
      <w:headerReference w:type="default" r:id="rId7"/>
      <w:footerReference w:type="even" r:id="rId8"/>
      <w:footerReference w:type="default" r:id="rId9"/>
      <w:headerReference w:type="first" r:id="rId10"/>
      <w:footerReference w:type="first" r:id="rId11"/>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B33" w:rsidRDefault="00AF2B33">
      <w:r>
        <w:separator/>
      </w:r>
    </w:p>
  </w:endnote>
  <w:endnote w:type="continuationSeparator" w:id="0">
    <w:p w:rsidR="00AF2B33" w:rsidRDefault="00AF2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781" w:rsidRDefault="009B67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D187E">
      <w:rPr>
        <w:rStyle w:val="PageNumber"/>
        <w:noProof/>
      </w:rPr>
      <w:t>3</w:t>
    </w:r>
    <w:r>
      <w:rPr>
        <w:rStyle w:val="PageNumber"/>
      </w:rPr>
      <w:fldChar w:fldCharType="end"/>
    </w:r>
  </w:p>
  <w:p w:rsidR="009B6781" w:rsidRDefault="009B67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B6781" w:rsidTr="00AD2B00">
      <w:tc>
        <w:tcPr>
          <w:tcW w:w="2500" w:type="pct"/>
        </w:tcPr>
        <w:p w:rsidR="009B6781" w:rsidRDefault="009B6781" w:rsidP="00AD2B00">
          <w:pPr>
            <w:pStyle w:val="ASDEFCONHeaderFooterLeft"/>
          </w:pPr>
          <w:r>
            <w:fldChar w:fldCharType="begin"/>
          </w:r>
          <w:r>
            <w:instrText xml:space="preserve"> DOCPROPERTY Footer_Left </w:instrText>
          </w:r>
          <w:r>
            <w:fldChar w:fldCharType="end"/>
          </w:r>
        </w:p>
      </w:tc>
      <w:tc>
        <w:tcPr>
          <w:tcW w:w="2500" w:type="pct"/>
        </w:tcPr>
        <w:p w:rsidR="009B6781" w:rsidRPr="002527C4" w:rsidRDefault="009B6781" w:rsidP="00AD2B00">
          <w:pPr>
            <w:pStyle w:val="ASDEFCONHeaderFooterRight"/>
            <w:rPr>
              <w:szCs w:val="16"/>
            </w:rPr>
          </w:pPr>
          <w:r w:rsidRPr="002527C4">
            <w:rPr>
              <w:rStyle w:val="PageNumber"/>
              <w:color w:val="auto"/>
              <w:szCs w:val="16"/>
            </w:rPr>
            <w:fldChar w:fldCharType="begin"/>
          </w:r>
          <w:r w:rsidRPr="002527C4">
            <w:rPr>
              <w:rStyle w:val="PageNumber"/>
              <w:color w:val="auto"/>
              <w:szCs w:val="16"/>
            </w:rPr>
            <w:instrText xml:space="preserve"> PAGE </w:instrText>
          </w:r>
          <w:r w:rsidRPr="002527C4">
            <w:rPr>
              <w:rStyle w:val="PageNumber"/>
              <w:color w:val="auto"/>
              <w:szCs w:val="16"/>
            </w:rPr>
            <w:fldChar w:fldCharType="separate"/>
          </w:r>
          <w:r w:rsidR="00321698">
            <w:rPr>
              <w:rStyle w:val="PageNumber"/>
              <w:noProof/>
              <w:color w:val="auto"/>
              <w:szCs w:val="16"/>
            </w:rPr>
            <w:t>4</w:t>
          </w:r>
          <w:r w:rsidRPr="002527C4">
            <w:rPr>
              <w:rStyle w:val="PageNumber"/>
              <w:color w:val="auto"/>
              <w:szCs w:val="16"/>
            </w:rPr>
            <w:fldChar w:fldCharType="end"/>
          </w:r>
        </w:p>
      </w:tc>
    </w:tr>
    <w:tr w:rsidR="009B6781" w:rsidTr="00AD2B00">
      <w:tc>
        <w:tcPr>
          <w:tcW w:w="5000" w:type="pct"/>
          <w:gridSpan w:val="2"/>
        </w:tcPr>
        <w:p w:rsidR="009B6781" w:rsidRDefault="00ED66B2" w:rsidP="00321698">
          <w:pPr>
            <w:pStyle w:val="ASDEFCONHeaderFooterClassification"/>
          </w:pPr>
          <w:fldSimple w:instr=" DOCPROPERTY  Classification  \* MERGEFORMAT ">
            <w:r>
              <w:t>OFFICIAL</w:t>
            </w:r>
          </w:fldSimple>
        </w:p>
      </w:tc>
    </w:tr>
  </w:tbl>
  <w:p w:rsidR="009B6781" w:rsidRPr="00AD2B00" w:rsidRDefault="009B6781" w:rsidP="00AD2B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781" w:rsidRDefault="009B6781">
    <w:pPr>
      <w:pStyle w:val="Footer"/>
      <w:tabs>
        <w:tab w:val="right" w:pos="9090"/>
      </w:tabs>
    </w:pPr>
    <w:r>
      <w:tab/>
    </w:r>
    <w:r>
      <w:tab/>
    </w:r>
    <w:r>
      <w:rPr>
        <w:rStyle w:val="PageNumber"/>
      </w:rPr>
      <w:fldChar w:fldCharType="begin"/>
    </w:r>
    <w:r>
      <w:rPr>
        <w:rStyle w:val="PageNumber"/>
      </w:rPr>
      <w:instrText xml:space="preserve"> PAGE </w:instrText>
    </w:r>
    <w:r>
      <w:rPr>
        <w:rStyle w:val="PageNumber"/>
      </w:rPr>
      <w:fldChar w:fldCharType="separate"/>
    </w:r>
    <w:r w:rsidR="00ED187E">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B33" w:rsidRDefault="00AF2B33">
      <w:r>
        <w:separator/>
      </w:r>
    </w:p>
  </w:footnote>
  <w:footnote w:type="continuationSeparator" w:id="0">
    <w:p w:rsidR="00AF2B33" w:rsidRDefault="00AF2B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B6781" w:rsidTr="00AD2B00">
      <w:tc>
        <w:tcPr>
          <w:tcW w:w="5000" w:type="pct"/>
          <w:gridSpan w:val="2"/>
        </w:tcPr>
        <w:p w:rsidR="009B6781" w:rsidRDefault="00ED66B2" w:rsidP="00321698">
          <w:pPr>
            <w:pStyle w:val="ASDEFCONHeaderFooterClassification"/>
          </w:pPr>
          <w:fldSimple w:instr=" DOCPROPERTY  Classification  \* MERGEFORMAT ">
            <w:r>
              <w:t>OFFICIAL</w:t>
            </w:r>
          </w:fldSimple>
        </w:p>
      </w:tc>
    </w:tr>
    <w:tr w:rsidR="009B6781" w:rsidTr="00AD2B00">
      <w:tc>
        <w:tcPr>
          <w:tcW w:w="2500" w:type="pct"/>
        </w:tcPr>
        <w:p w:rsidR="009B6781" w:rsidRDefault="00ED66B2" w:rsidP="00AD2B00">
          <w:pPr>
            <w:pStyle w:val="ASDEFCONHeaderFooterLeft"/>
          </w:pPr>
          <w:fldSimple w:instr=" DOCPROPERTY Header_Left ">
            <w:r w:rsidR="00ED187E">
              <w:t>ASDEFCON (Support)</w:t>
            </w:r>
          </w:fldSimple>
        </w:p>
      </w:tc>
      <w:tc>
        <w:tcPr>
          <w:tcW w:w="2500" w:type="pct"/>
        </w:tcPr>
        <w:p w:rsidR="009B6781" w:rsidRDefault="00ED66B2" w:rsidP="00AD2B00">
          <w:pPr>
            <w:pStyle w:val="ASDEFCONHeaderFooterRight"/>
          </w:pPr>
          <w:fldSimple w:instr=" DOCPROPERTY Header_Right ">
            <w:r w:rsidR="00ED187E">
              <w:t>DID-SSM-SMP</w:t>
            </w:r>
          </w:fldSimple>
          <w:r w:rsidR="00265315">
            <w:t>-</w:t>
          </w:r>
          <w:fldSimple w:instr=" DOCPROPERTY Version ">
            <w:r>
              <w:t>V5.0</w:t>
            </w:r>
          </w:fldSimple>
        </w:p>
      </w:tc>
    </w:tr>
  </w:tbl>
  <w:p w:rsidR="009B6781" w:rsidRPr="00AD2B00" w:rsidRDefault="009B6781" w:rsidP="00AD2B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781" w:rsidRDefault="00321698">
    <w:pPr>
      <w:pStyle w:val="Header"/>
    </w:pPr>
    <w:r>
      <w:fldChar w:fldCharType="begin"/>
    </w:r>
    <w:r>
      <w:instrText xml:space="preserve"> DOCPROPERTY  Category  \* MERGEFORMAT ASDEFCON (Support)</w:instrText>
    </w:r>
    <w:r>
      <w:fldChar w:fldCharType="separate"/>
    </w:r>
    <w:r w:rsidR="00ED187E">
      <w:t>ASDEFCON (Support)</w:t>
    </w:r>
    <w:r>
      <w:fldChar w:fldCharType="end"/>
    </w:r>
    <w:r w:rsidR="009B6781">
      <w:tab/>
    </w:r>
    <w:r w:rsidR="009B6781">
      <w:tab/>
    </w:r>
    <w:r>
      <w:fldChar w:fldCharType="begin"/>
    </w:r>
    <w:r>
      <w:instrText xml:space="preserve"> D</w:instrText>
    </w:r>
    <w:r>
      <w:instrText xml:space="preserve">OCPROPERTY  Title  \* MERGEFORMAT </w:instrText>
    </w:r>
    <w:r>
      <w:fldChar w:fldCharType="separate"/>
    </w:r>
    <w:r w:rsidR="00ED187E">
      <w:t>DID-SSM-SMP</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8E387F"/>
    <w:multiLevelType w:val="multilevel"/>
    <w:tmpl w:val="EEF4BDAA"/>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lvlText w:val="%7."/>
      <w:lvlJc w:val="left"/>
      <w:pPr>
        <w:tabs>
          <w:tab w:val="num" w:pos="1440"/>
        </w:tabs>
        <w:ind w:left="1440" w:hanging="533"/>
      </w:pPr>
      <w:rPr>
        <w:rFonts w:hint="default"/>
      </w:rPr>
    </w:lvl>
    <w:lvl w:ilvl="7">
      <w:start w:val="1"/>
      <w:numFmt w:val="lowerRoman"/>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8"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5BE7685"/>
    <w:multiLevelType w:val="singleLevel"/>
    <w:tmpl w:val="C9BEFCD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3"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4"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C822A8C"/>
    <w:multiLevelType w:val="multilevel"/>
    <w:tmpl w:val="FB7A3212"/>
    <w:lvl w:ilvl="0">
      <w:start w:val="1"/>
      <w:numFmt w:val="decimal"/>
      <w:pStyle w:val="Notespara"/>
      <w:lvlText w:val="%1."/>
      <w:lvlJc w:val="left"/>
      <w:pPr>
        <w:tabs>
          <w:tab w:val="num" w:pos="1276"/>
        </w:tabs>
        <w:ind w:left="1276" w:hanging="1276"/>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276"/>
        </w:tabs>
        <w:ind w:left="1276" w:hanging="1276"/>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1"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D547B93"/>
    <w:multiLevelType w:val="hybridMultilevel"/>
    <w:tmpl w:val="347AA110"/>
    <w:lvl w:ilvl="0" w:tplc="0484B3DA">
      <w:start w:val="1"/>
      <w:numFmt w:val="decimal"/>
      <w:pStyle w:val="sspara"/>
      <w:lvlText w:val="(%1)"/>
      <w:lvlJc w:val="left"/>
      <w:pPr>
        <w:ind w:left="2203" w:hanging="360"/>
      </w:pPr>
      <w:rPr>
        <w:rFonts w:hint="default"/>
      </w:rPr>
    </w:lvl>
    <w:lvl w:ilvl="1" w:tplc="0C090019" w:tentative="1">
      <w:start w:val="1"/>
      <w:numFmt w:val="lowerLetter"/>
      <w:lvlText w:val="%2."/>
      <w:lvlJc w:val="left"/>
      <w:pPr>
        <w:ind w:left="3283" w:hanging="360"/>
      </w:pPr>
    </w:lvl>
    <w:lvl w:ilvl="2" w:tplc="0C09001B" w:tentative="1">
      <w:start w:val="1"/>
      <w:numFmt w:val="lowerRoman"/>
      <w:lvlText w:val="%3."/>
      <w:lvlJc w:val="right"/>
      <w:pPr>
        <w:ind w:left="4003" w:hanging="180"/>
      </w:pPr>
    </w:lvl>
    <w:lvl w:ilvl="3" w:tplc="0C09000F" w:tentative="1">
      <w:start w:val="1"/>
      <w:numFmt w:val="decimal"/>
      <w:lvlText w:val="%4."/>
      <w:lvlJc w:val="left"/>
      <w:pPr>
        <w:ind w:left="4723" w:hanging="360"/>
      </w:pPr>
    </w:lvl>
    <w:lvl w:ilvl="4" w:tplc="0C090019" w:tentative="1">
      <w:start w:val="1"/>
      <w:numFmt w:val="lowerLetter"/>
      <w:lvlText w:val="%5."/>
      <w:lvlJc w:val="left"/>
      <w:pPr>
        <w:ind w:left="5443" w:hanging="360"/>
      </w:pPr>
    </w:lvl>
    <w:lvl w:ilvl="5" w:tplc="0C09001B" w:tentative="1">
      <w:start w:val="1"/>
      <w:numFmt w:val="lowerRoman"/>
      <w:lvlText w:val="%6."/>
      <w:lvlJc w:val="right"/>
      <w:pPr>
        <w:ind w:left="6163" w:hanging="180"/>
      </w:pPr>
    </w:lvl>
    <w:lvl w:ilvl="6" w:tplc="0C09000F" w:tentative="1">
      <w:start w:val="1"/>
      <w:numFmt w:val="decimal"/>
      <w:lvlText w:val="%7."/>
      <w:lvlJc w:val="left"/>
      <w:pPr>
        <w:ind w:left="6883" w:hanging="360"/>
      </w:pPr>
    </w:lvl>
    <w:lvl w:ilvl="7" w:tplc="0C090019" w:tentative="1">
      <w:start w:val="1"/>
      <w:numFmt w:val="lowerLetter"/>
      <w:lvlText w:val="%8."/>
      <w:lvlJc w:val="left"/>
      <w:pPr>
        <w:ind w:left="7603" w:hanging="360"/>
      </w:pPr>
    </w:lvl>
    <w:lvl w:ilvl="8" w:tplc="0C09001B" w:tentative="1">
      <w:start w:val="1"/>
      <w:numFmt w:val="lowerRoman"/>
      <w:lvlText w:val="%9."/>
      <w:lvlJc w:val="right"/>
      <w:pPr>
        <w:ind w:left="8323" w:hanging="180"/>
      </w:pPr>
    </w:lvl>
  </w:abstractNum>
  <w:abstractNum w:abstractNumId="48"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0"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1"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7"/>
  </w:num>
  <w:num w:numId="3">
    <w:abstractNumId w:val="20"/>
    <w:lvlOverride w:ilvl="0">
      <w:startOverride w:val="1"/>
    </w:lvlOverride>
  </w:num>
  <w:num w:numId="4">
    <w:abstractNumId w:val="47"/>
  </w:num>
  <w:num w:numId="5">
    <w:abstractNumId w:val="49"/>
  </w:num>
  <w:num w:numId="6">
    <w:abstractNumId w:val="30"/>
  </w:num>
  <w:num w:numId="7">
    <w:abstractNumId w:val="22"/>
  </w:num>
  <w:num w:numId="8">
    <w:abstractNumId w:val="2"/>
  </w:num>
  <w:num w:numId="9">
    <w:abstractNumId w:val="25"/>
  </w:num>
  <w:num w:numId="10">
    <w:abstractNumId w:val="15"/>
  </w:num>
  <w:num w:numId="11">
    <w:abstractNumId w:val="28"/>
  </w:num>
  <w:num w:numId="12">
    <w:abstractNumId w:val="16"/>
  </w:num>
  <w:num w:numId="13">
    <w:abstractNumId w:val="6"/>
  </w:num>
  <w:num w:numId="14">
    <w:abstractNumId w:val="35"/>
  </w:num>
  <w:num w:numId="15">
    <w:abstractNumId w:val="10"/>
  </w:num>
  <w:num w:numId="16">
    <w:abstractNumId w:val="32"/>
  </w:num>
  <w:num w:numId="17">
    <w:abstractNumId w:val="43"/>
  </w:num>
  <w:num w:numId="18">
    <w:abstractNumId w:val="4"/>
  </w:num>
  <w:num w:numId="19">
    <w:abstractNumId w:val="37"/>
  </w:num>
  <w:num w:numId="20">
    <w:abstractNumId w:val="27"/>
  </w:num>
  <w:num w:numId="21">
    <w:abstractNumId w:val="40"/>
  </w:num>
  <w:num w:numId="22">
    <w:abstractNumId w:val="50"/>
  </w:num>
  <w:num w:numId="23">
    <w:abstractNumId w:val="33"/>
    <w:lvlOverride w:ilvl="0">
      <w:startOverride w:val="1"/>
    </w:lvlOverride>
  </w:num>
  <w:num w:numId="24">
    <w:abstractNumId w:val="41"/>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7"/>
  </w:num>
  <w:num w:numId="28">
    <w:abstractNumId w:val="44"/>
  </w:num>
  <w:num w:numId="29">
    <w:abstractNumId w:val="26"/>
  </w:num>
  <w:num w:numId="30">
    <w:abstractNumId w:val="34"/>
  </w:num>
  <w:num w:numId="31">
    <w:abstractNumId w:val="51"/>
  </w:num>
  <w:num w:numId="32">
    <w:abstractNumId w:val="18"/>
  </w:num>
  <w:num w:numId="33">
    <w:abstractNumId w:val="23"/>
  </w:num>
  <w:num w:numId="34">
    <w:abstractNumId w:val="53"/>
  </w:num>
  <w:num w:numId="35">
    <w:abstractNumId w:val="13"/>
  </w:num>
  <w:num w:numId="36">
    <w:abstractNumId w:val="11"/>
  </w:num>
  <w:num w:numId="37">
    <w:abstractNumId w:val="3"/>
  </w:num>
  <w:num w:numId="38">
    <w:abstractNumId w:val="8"/>
  </w:num>
  <w:num w:numId="39">
    <w:abstractNumId w:val="21"/>
  </w:num>
  <w:num w:numId="40">
    <w:abstractNumId w:val="1"/>
  </w:num>
  <w:num w:numId="41">
    <w:abstractNumId w:val="29"/>
  </w:num>
  <w:num w:numId="42">
    <w:abstractNumId w:val="46"/>
  </w:num>
  <w:num w:numId="43">
    <w:abstractNumId w:val="42"/>
  </w:num>
  <w:num w:numId="44">
    <w:abstractNumId w:val="35"/>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
  </w:num>
  <w:num w:numId="55">
    <w:abstractNumId w:val="45"/>
  </w:num>
  <w:num w:numId="56">
    <w:abstractNumId w:val="52"/>
  </w:num>
  <w:num w:numId="57">
    <w:abstractNumId w:val="19"/>
  </w:num>
  <w:num w:numId="58">
    <w:abstractNumId w:val="31"/>
  </w:num>
  <w:num w:numId="59">
    <w:abstractNumId w:val="12"/>
  </w:num>
  <w:num w:numId="60">
    <w:abstractNumId w:val="5"/>
  </w:num>
  <w:num w:numId="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0"/>
  </w:num>
  <w:num w:numId="63">
    <w:abstractNumId w:val="36"/>
  </w:num>
  <w:num w:numId="64">
    <w:abstractNumId w:val="24"/>
  </w:num>
  <w:num w:numId="65">
    <w:abstractNumId w:val="3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4E"/>
    <w:rsid w:val="000667A3"/>
    <w:rsid w:val="00070601"/>
    <w:rsid w:val="0009032A"/>
    <w:rsid w:val="000C278B"/>
    <w:rsid w:val="00155800"/>
    <w:rsid w:val="00156622"/>
    <w:rsid w:val="001750EE"/>
    <w:rsid w:val="001C3982"/>
    <w:rsid w:val="001D721C"/>
    <w:rsid w:val="001F348A"/>
    <w:rsid w:val="00203092"/>
    <w:rsid w:val="002119AB"/>
    <w:rsid w:val="002527C4"/>
    <w:rsid w:val="00265315"/>
    <w:rsid w:val="00265B8B"/>
    <w:rsid w:val="00277224"/>
    <w:rsid w:val="002918BE"/>
    <w:rsid w:val="002E2557"/>
    <w:rsid w:val="00304011"/>
    <w:rsid w:val="00305B43"/>
    <w:rsid w:val="00321698"/>
    <w:rsid w:val="00341EEF"/>
    <w:rsid w:val="00353A89"/>
    <w:rsid w:val="00353B2E"/>
    <w:rsid w:val="003820F1"/>
    <w:rsid w:val="003A5F1E"/>
    <w:rsid w:val="00415F17"/>
    <w:rsid w:val="00431161"/>
    <w:rsid w:val="00432DB5"/>
    <w:rsid w:val="0043407C"/>
    <w:rsid w:val="00453D55"/>
    <w:rsid w:val="004808D0"/>
    <w:rsid w:val="00495648"/>
    <w:rsid w:val="004E0CED"/>
    <w:rsid w:val="005260CC"/>
    <w:rsid w:val="00542F3A"/>
    <w:rsid w:val="00544792"/>
    <w:rsid w:val="0054570B"/>
    <w:rsid w:val="0056118F"/>
    <w:rsid w:val="005827C7"/>
    <w:rsid w:val="005B4F15"/>
    <w:rsid w:val="005C0DCF"/>
    <w:rsid w:val="005E50A3"/>
    <w:rsid w:val="005F5357"/>
    <w:rsid w:val="006106DF"/>
    <w:rsid w:val="00617CA4"/>
    <w:rsid w:val="00633CA7"/>
    <w:rsid w:val="006717DC"/>
    <w:rsid w:val="006B3F90"/>
    <w:rsid w:val="006E4EBA"/>
    <w:rsid w:val="00707B30"/>
    <w:rsid w:val="00727A10"/>
    <w:rsid w:val="00731F07"/>
    <w:rsid w:val="00741BE2"/>
    <w:rsid w:val="00774FE4"/>
    <w:rsid w:val="007B3666"/>
    <w:rsid w:val="007C6749"/>
    <w:rsid w:val="007D737F"/>
    <w:rsid w:val="007F09AC"/>
    <w:rsid w:val="00803D69"/>
    <w:rsid w:val="008801F4"/>
    <w:rsid w:val="008A1C4B"/>
    <w:rsid w:val="00904926"/>
    <w:rsid w:val="0098342E"/>
    <w:rsid w:val="009839F1"/>
    <w:rsid w:val="009A52DA"/>
    <w:rsid w:val="009B6781"/>
    <w:rsid w:val="009C705C"/>
    <w:rsid w:val="009E5190"/>
    <w:rsid w:val="00A27651"/>
    <w:rsid w:val="00A40C43"/>
    <w:rsid w:val="00A52761"/>
    <w:rsid w:val="00A654C7"/>
    <w:rsid w:val="00AA558C"/>
    <w:rsid w:val="00AB114B"/>
    <w:rsid w:val="00AB3AD4"/>
    <w:rsid w:val="00AC0E01"/>
    <w:rsid w:val="00AC2B47"/>
    <w:rsid w:val="00AD2B00"/>
    <w:rsid w:val="00AE4A5F"/>
    <w:rsid w:val="00AF2B33"/>
    <w:rsid w:val="00AF564E"/>
    <w:rsid w:val="00B10AEE"/>
    <w:rsid w:val="00B24557"/>
    <w:rsid w:val="00B4699F"/>
    <w:rsid w:val="00B87860"/>
    <w:rsid w:val="00BA27D8"/>
    <w:rsid w:val="00BA7A6E"/>
    <w:rsid w:val="00BB754D"/>
    <w:rsid w:val="00C31BBA"/>
    <w:rsid w:val="00C80652"/>
    <w:rsid w:val="00CB669A"/>
    <w:rsid w:val="00CD01DE"/>
    <w:rsid w:val="00D157B5"/>
    <w:rsid w:val="00D25915"/>
    <w:rsid w:val="00D43B63"/>
    <w:rsid w:val="00D674EF"/>
    <w:rsid w:val="00D75831"/>
    <w:rsid w:val="00D904B5"/>
    <w:rsid w:val="00DB0E9D"/>
    <w:rsid w:val="00DD1722"/>
    <w:rsid w:val="00DD667E"/>
    <w:rsid w:val="00E0427F"/>
    <w:rsid w:val="00E24DAA"/>
    <w:rsid w:val="00E85ABC"/>
    <w:rsid w:val="00EA3373"/>
    <w:rsid w:val="00EA3EB0"/>
    <w:rsid w:val="00EB753F"/>
    <w:rsid w:val="00ED187E"/>
    <w:rsid w:val="00ED1ABD"/>
    <w:rsid w:val="00ED41AA"/>
    <w:rsid w:val="00ED66B2"/>
    <w:rsid w:val="00F16352"/>
    <w:rsid w:val="00F455D4"/>
    <w:rsid w:val="00F47286"/>
    <w:rsid w:val="00F478AD"/>
    <w:rsid w:val="00F52B1C"/>
    <w:rsid w:val="00F53650"/>
    <w:rsid w:val="00F67D2A"/>
    <w:rsid w:val="00F7287D"/>
    <w:rsid w:val="00FA3D07"/>
    <w:rsid w:val="00FA5938"/>
    <w:rsid w:val="00FB0DA7"/>
    <w:rsid w:val="00FB3828"/>
    <w:rsid w:val="00FD3C2C"/>
    <w:rsid w:val="00FE07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E731F2"/>
  <w15:docId w15:val="{26514AA9-1A9A-48E5-BAE9-3554B075A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187E"/>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1."/>
    <w:basedOn w:val="Normal"/>
    <w:next w:val="Normal"/>
    <w:link w:val="Heading1Char"/>
    <w:qFormat/>
    <w:rsid w:val="00ED187E"/>
    <w:pPr>
      <w:keepNext/>
      <w:numPr>
        <w:numId w:val="30"/>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ED187E"/>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qFormat/>
    <w:rsid w:val="005F5357"/>
    <w:pPr>
      <w:keepNext/>
      <w:numPr>
        <w:ilvl w:val="2"/>
        <w:numId w:val="62"/>
      </w:numPr>
      <w:spacing w:before="240" w:after="60"/>
      <w:outlineLvl w:val="2"/>
    </w:pPr>
    <w:rPr>
      <w:b/>
      <w:sz w:val="24"/>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
    <w:qFormat/>
    <w:rsid w:val="005F5357"/>
    <w:pPr>
      <w:keepNext/>
      <w:numPr>
        <w:ilvl w:val="3"/>
        <w:numId w:val="62"/>
      </w:numPr>
      <w:spacing w:before="240" w:after="60"/>
      <w:outlineLvl w:val="3"/>
    </w:pPr>
    <w:rPr>
      <w:b/>
      <w:i/>
      <w:sz w:val="24"/>
    </w:rPr>
  </w:style>
  <w:style w:type="paragraph" w:styleId="Heading5">
    <w:name w:val="heading 5"/>
    <w:aliases w:val="Para5,i."/>
    <w:basedOn w:val="Normal"/>
    <w:next w:val="Normal"/>
    <w:link w:val="Heading5Char"/>
    <w:qFormat/>
    <w:rsid w:val="005F5357"/>
    <w:pPr>
      <w:numPr>
        <w:ilvl w:val="4"/>
        <w:numId w:val="62"/>
      </w:numPr>
      <w:spacing w:before="240" w:after="60"/>
      <w:outlineLvl w:val="4"/>
    </w:pPr>
    <w:rPr>
      <w:sz w:val="22"/>
    </w:rPr>
  </w:style>
  <w:style w:type="paragraph" w:styleId="Heading6">
    <w:name w:val="heading 6"/>
    <w:aliases w:val="A."/>
    <w:basedOn w:val="Normal"/>
    <w:next w:val="Normal"/>
    <w:link w:val="Heading6Char"/>
    <w:qFormat/>
    <w:rsid w:val="005F5357"/>
    <w:pPr>
      <w:numPr>
        <w:ilvl w:val="5"/>
        <w:numId w:val="62"/>
      </w:numPr>
      <w:spacing w:before="240" w:after="60"/>
      <w:outlineLvl w:val="5"/>
    </w:pPr>
    <w:rPr>
      <w:i/>
      <w:sz w:val="22"/>
    </w:rPr>
  </w:style>
  <w:style w:type="paragraph" w:styleId="Heading7">
    <w:name w:val="heading 7"/>
    <w:aliases w:val="(i)"/>
    <w:basedOn w:val="Normal"/>
    <w:next w:val="Normal"/>
    <w:link w:val="Heading7Char"/>
    <w:qFormat/>
    <w:rsid w:val="005F5357"/>
    <w:pPr>
      <w:numPr>
        <w:ilvl w:val="6"/>
        <w:numId w:val="62"/>
      </w:numPr>
      <w:spacing w:before="240" w:after="60"/>
      <w:outlineLvl w:val="6"/>
    </w:pPr>
  </w:style>
  <w:style w:type="paragraph" w:styleId="Heading8">
    <w:name w:val="heading 8"/>
    <w:aliases w:val="(A)"/>
    <w:basedOn w:val="Normal"/>
    <w:next w:val="Normal"/>
    <w:link w:val="Heading8Char"/>
    <w:qFormat/>
    <w:rsid w:val="005F5357"/>
    <w:pPr>
      <w:numPr>
        <w:ilvl w:val="7"/>
        <w:numId w:val="62"/>
      </w:numPr>
      <w:spacing w:before="240" w:after="60"/>
      <w:outlineLvl w:val="7"/>
    </w:pPr>
    <w:rPr>
      <w:i/>
    </w:rPr>
  </w:style>
  <w:style w:type="paragraph" w:styleId="Heading9">
    <w:name w:val="heading 9"/>
    <w:aliases w:val="I"/>
    <w:basedOn w:val="Normal"/>
    <w:next w:val="Normal"/>
    <w:link w:val="Heading9Char"/>
    <w:qFormat/>
    <w:rsid w:val="005F5357"/>
    <w:pPr>
      <w:numPr>
        <w:ilvl w:val="8"/>
        <w:numId w:val="62"/>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Level3">
    <w:name w:val="Text Level 3"/>
    <w:basedOn w:val="Heading3"/>
    <w:qFormat/>
    <w:rsid w:val="00DB0E9D"/>
    <w:pPr>
      <w:keepNext w:val="0"/>
      <w:spacing w:before="0"/>
    </w:pPr>
    <w:rPr>
      <w:b w:val="0"/>
    </w:rPr>
  </w:style>
  <w:style w:type="paragraph" w:customStyle="1" w:styleId="TextLevel4">
    <w:name w:val="Text Level 4"/>
    <w:basedOn w:val="Heading4"/>
    <w:qFormat/>
    <w:rsid w:val="00DB0E9D"/>
    <w:pPr>
      <w:keepNext w:val="0"/>
      <w:spacing w:before="0"/>
    </w:pPr>
    <w:rPr>
      <w:b w:val="0"/>
    </w:rPr>
  </w:style>
  <w:style w:type="paragraph" w:customStyle="1" w:styleId="TextLevel5">
    <w:name w:val="Text Level 5"/>
    <w:basedOn w:val="Heading5"/>
    <w:rsid w:val="00DB0E9D"/>
    <w:pPr>
      <w:spacing w:before="0"/>
    </w:pPr>
    <w:rPr>
      <w:b/>
      <w:lang w:eastAsia="en-US"/>
    </w:rPr>
  </w:style>
  <w:style w:type="paragraph" w:customStyle="1" w:styleId="Note">
    <w:name w:val="Note"/>
    <w:basedOn w:val="PlainText"/>
    <w:rsid w:val="00DB0E9D"/>
    <w:rPr>
      <w:rFonts w:ascii="Arial" w:hAnsi="Arial"/>
      <w:b/>
      <w:i/>
    </w:rPr>
  </w:style>
  <w:style w:type="paragraph" w:customStyle="1" w:styleId="Notespara">
    <w:name w:val="Note spara"/>
    <w:basedOn w:val="PlainText"/>
    <w:rsid w:val="00DB0E9D"/>
    <w:pPr>
      <w:numPr>
        <w:numId w:val="1"/>
      </w:numPr>
    </w:pPr>
    <w:rPr>
      <w:rFonts w:ascii="Arial" w:hAnsi="Arial"/>
      <w:b/>
      <w:i/>
    </w:rPr>
  </w:style>
  <w:style w:type="paragraph" w:customStyle="1" w:styleId="spara">
    <w:name w:val="spara"/>
    <w:basedOn w:val="PlainText"/>
    <w:rsid w:val="00DB0E9D"/>
    <w:pPr>
      <w:numPr>
        <w:numId w:val="3"/>
      </w:numPr>
    </w:pPr>
    <w:rPr>
      <w:rFonts w:ascii="Arial" w:hAnsi="Arial"/>
    </w:rPr>
  </w:style>
  <w:style w:type="paragraph" w:customStyle="1" w:styleId="TextNoNumber">
    <w:name w:val="Text No Number"/>
    <w:basedOn w:val="TextLevel3"/>
    <w:rsid w:val="00DB0E9D"/>
    <w:pPr>
      <w:numPr>
        <w:ilvl w:val="0"/>
        <w:numId w:val="0"/>
      </w:numPr>
      <w:ind w:left="1276"/>
      <w:outlineLvl w:val="9"/>
    </w:pPr>
  </w:style>
  <w:style w:type="paragraph" w:styleId="Header">
    <w:name w:val="header"/>
    <w:basedOn w:val="Normal"/>
    <w:link w:val="HeaderChar1"/>
    <w:rsid w:val="008A1C4B"/>
    <w:pPr>
      <w:tabs>
        <w:tab w:val="center" w:pos="4153"/>
        <w:tab w:val="right" w:pos="8306"/>
      </w:tabs>
    </w:pPr>
  </w:style>
  <w:style w:type="paragraph" w:styleId="Footer">
    <w:name w:val="footer"/>
    <w:basedOn w:val="Normal"/>
    <w:link w:val="FooterChar1"/>
    <w:rsid w:val="008A1C4B"/>
    <w:pPr>
      <w:tabs>
        <w:tab w:val="center" w:pos="4153"/>
        <w:tab w:val="right" w:pos="8306"/>
      </w:tabs>
    </w:pPr>
  </w:style>
  <w:style w:type="character" w:styleId="PageNumber">
    <w:name w:val="page number"/>
    <w:rsid w:val="008A1C4B"/>
    <w:rPr>
      <w:rFonts w:cs="Times New Roman"/>
    </w:rPr>
  </w:style>
  <w:style w:type="paragraph" w:customStyle="1" w:styleId="DIDText">
    <w:name w:val="DID Text"/>
    <w:basedOn w:val="Normal"/>
    <w:rsid w:val="00DB0E9D"/>
    <w:pPr>
      <w:ind w:left="1276"/>
    </w:pPr>
    <w:rPr>
      <w:lang w:eastAsia="en-US"/>
    </w:rPr>
  </w:style>
  <w:style w:type="paragraph" w:styleId="FootnoteText">
    <w:name w:val="footnote text"/>
    <w:basedOn w:val="Normal"/>
    <w:semiHidden/>
    <w:rsid w:val="00ED187E"/>
    <w:rPr>
      <w:szCs w:val="20"/>
    </w:rPr>
  </w:style>
  <w:style w:type="character" w:styleId="FootnoteReference">
    <w:name w:val="footnote reference"/>
    <w:semiHidden/>
    <w:rPr>
      <w:vertAlign w:val="superscript"/>
    </w:rPr>
  </w:style>
  <w:style w:type="paragraph" w:customStyle="1" w:styleId="BookTitle1">
    <w:name w:val="Book Title1"/>
    <w:basedOn w:val="PlainText"/>
    <w:rsid w:val="00DB0E9D"/>
    <w:pPr>
      <w:ind w:left="4116" w:hanging="2835"/>
    </w:pPr>
    <w:rPr>
      <w:rFonts w:ascii="Arial" w:hAnsi="Arial"/>
    </w:rPr>
  </w:style>
  <w:style w:type="paragraph" w:customStyle="1" w:styleId="sspara">
    <w:name w:val="sspara"/>
    <w:basedOn w:val="Normal"/>
    <w:rsid w:val="00DB0E9D"/>
    <w:pPr>
      <w:numPr>
        <w:numId w:val="4"/>
      </w:numPr>
      <w:tabs>
        <w:tab w:val="left" w:pos="2410"/>
      </w:tabs>
      <w:ind w:left="2410" w:hanging="567"/>
    </w:pPr>
  </w:style>
  <w:style w:type="paragraph" w:styleId="PlainText">
    <w:name w:val="Plain Text"/>
    <w:basedOn w:val="Normal"/>
    <w:rsid w:val="00DB0E9D"/>
    <w:rPr>
      <w:rFonts w:ascii="Courier New" w:hAnsi="Courier New"/>
    </w:rPr>
  </w:style>
  <w:style w:type="paragraph" w:styleId="TOC1">
    <w:name w:val="toc 1"/>
    <w:next w:val="ASDEFCONNormal"/>
    <w:autoRedefine/>
    <w:uiPriority w:val="39"/>
    <w:rsid w:val="00ED187E"/>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8A1C4B"/>
    <w:rPr>
      <w:rFonts w:cs="Times New Roman"/>
      <w:sz w:val="16"/>
    </w:rPr>
  </w:style>
  <w:style w:type="paragraph" w:styleId="CommentText">
    <w:name w:val="annotation text"/>
    <w:basedOn w:val="Normal"/>
    <w:link w:val="CommentTextChar1"/>
    <w:semiHidden/>
    <w:rsid w:val="008A1C4B"/>
  </w:style>
  <w:style w:type="paragraph" w:styleId="TOC2">
    <w:name w:val="toc 2"/>
    <w:next w:val="ASDEFCONNormal"/>
    <w:autoRedefine/>
    <w:uiPriority w:val="39"/>
    <w:rsid w:val="00ED187E"/>
    <w:pPr>
      <w:spacing w:after="60"/>
      <w:ind w:left="1417" w:hanging="850"/>
    </w:pPr>
    <w:rPr>
      <w:rFonts w:ascii="Arial" w:hAnsi="Arial" w:cs="Arial"/>
      <w:szCs w:val="24"/>
    </w:rPr>
  </w:style>
  <w:style w:type="paragraph" w:styleId="TOC3">
    <w:name w:val="toc 3"/>
    <w:basedOn w:val="Normal"/>
    <w:next w:val="Normal"/>
    <w:autoRedefine/>
    <w:rsid w:val="00ED187E"/>
    <w:pPr>
      <w:spacing w:after="100"/>
      <w:ind w:left="400"/>
    </w:pPr>
  </w:style>
  <w:style w:type="paragraph" w:customStyle="1" w:styleId="TextLevel6">
    <w:name w:val="Text Level 6"/>
    <w:basedOn w:val="Heading6"/>
    <w:rsid w:val="00DB0E9D"/>
    <w:pPr>
      <w:spacing w:before="0"/>
    </w:pPr>
    <w:rPr>
      <w:b/>
    </w:rPr>
  </w:style>
  <w:style w:type="paragraph" w:styleId="Title">
    <w:name w:val="Title"/>
    <w:basedOn w:val="Normal"/>
    <w:qFormat/>
    <w:rsid w:val="00DB0E9D"/>
    <w:pPr>
      <w:jc w:val="center"/>
    </w:pPr>
    <w:rPr>
      <w:b/>
    </w:rPr>
  </w:style>
  <w:style w:type="paragraph" w:customStyle="1" w:styleId="TextLevel7">
    <w:name w:val="Text Level 7"/>
    <w:basedOn w:val="Heading7"/>
    <w:rsid w:val="00DB0E9D"/>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AttachmentHeading">
    <w:name w:val="Attachment Heading"/>
    <w:basedOn w:val="Normal"/>
    <w:pPr>
      <w:jc w:val="center"/>
    </w:pPr>
    <w:rPr>
      <w:lang w:val="en-US"/>
    </w:rPr>
  </w:style>
  <w:style w:type="paragraph" w:customStyle="1" w:styleId="Indent">
    <w:name w:val="Indent"/>
    <w:basedOn w:val="Normal"/>
    <w:pPr>
      <w:tabs>
        <w:tab w:val="left" w:pos="1701"/>
      </w:tabs>
      <w:ind w:left="1701"/>
    </w:pPr>
  </w:style>
  <w:style w:type="paragraph" w:customStyle="1" w:styleId="Notetodrafters">
    <w:name w:val="Note to drafters"/>
    <w:basedOn w:val="Normal"/>
    <w:next w:val="Normal"/>
    <w:rsid w:val="00DB0E9D"/>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page">
    <w:name w:val="page"/>
    <w:basedOn w:val="Normal"/>
    <w:next w:val="Normal"/>
    <w:pPr>
      <w:tabs>
        <w:tab w:val="num" w:pos="864"/>
      </w:tabs>
      <w:ind w:left="864" w:hanging="864"/>
      <w:jc w:val="right"/>
    </w:pPr>
    <w:rPr>
      <w:b/>
      <w:lang w:val="en-US"/>
    </w:rPr>
  </w:style>
  <w:style w:type="paragraph" w:customStyle="1" w:styleId="textlevel2">
    <w:name w:val="text level 2"/>
    <w:next w:val="Normal"/>
    <w:pPr>
      <w:numPr>
        <w:ilvl w:val="2"/>
        <w:numId w:val="2"/>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ssspara">
    <w:name w:val="ssspara"/>
    <w:basedOn w:val="Normal"/>
    <w:pPr>
      <w:numPr>
        <w:ilvl w:val="8"/>
        <w:numId w:val="2"/>
      </w:numPr>
    </w:pPr>
  </w:style>
  <w:style w:type="paragraph" w:styleId="CommentSubject">
    <w:name w:val="annotation subject"/>
    <w:basedOn w:val="CommentText"/>
    <w:next w:val="CommentText"/>
    <w:link w:val="CommentSubjectChar1"/>
    <w:semiHidden/>
    <w:rsid w:val="008A1C4B"/>
    <w:rPr>
      <w:b/>
      <w:bCs/>
    </w:rPr>
  </w:style>
  <w:style w:type="paragraph" w:styleId="BalloonText">
    <w:name w:val="Balloon Text"/>
    <w:basedOn w:val="Normal"/>
    <w:link w:val="BalloonTextChar"/>
    <w:autoRedefine/>
    <w:rsid w:val="00727A10"/>
    <w:rPr>
      <w:sz w:val="18"/>
      <w:szCs w:val="20"/>
    </w:rPr>
  </w:style>
  <w:style w:type="paragraph" w:customStyle="1" w:styleId="DIDTitle">
    <w:name w:val="DID Title"/>
    <w:basedOn w:val="Normal"/>
    <w:next w:val="Heading1"/>
    <w:rsid w:val="00DB0E9D"/>
    <w:pPr>
      <w:jc w:val="center"/>
    </w:pPr>
    <w:rPr>
      <w:b/>
      <w:caps/>
      <w:sz w:val="28"/>
      <w:szCs w:val="28"/>
    </w:rPr>
  </w:style>
  <w:style w:type="paragraph" w:customStyle="1" w:styleId="TextManualNumber">
    <w:name w:val="Text Manual Number"/>
    <w:basedOn w:val="TextNoNumber"/>
    <w:rsid w:val="00DB0E9D"/>
    <w:pPr>
      <w:ind w:hanging="1276"/>
    </w:pPr>
  </w:style>
  <w:style w:type="table" w:styleId="TableGrid">
    <w:name w:val="Table Grid"/>
    <w:basedOn w:val="TableNormal"/>
    <w:rsid w:val="00D43B63"/>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D43B63"/>
  </w:style>
  <w:style w:type="character" w:customStyle="1" w:styleId="BodyTextChar">
    <w:name w:val="Body Text Char"/>
    <w:rsid w:val="008A1C4B"/>
    <w:rPr>
      <w:rFonts w:ascii="Arial" w:hAnsi="Arial" w:cs="Times New Roman"/>
      <w:sz w:val="22"/>
      <w:szCs w:val="22"/>
      <w:lang w:val="x-none" w:eastAsia="en-US"/>
    </w:rPr>
  </w:style>
  <w:style w:type="paragraph" w:customStyle="1" w:styleId="Style1">
    <w:name w:val="Style1"/>
    <w:basedOn w:val="Heading4"/>
    <w:rsid w:val="00D43B63"/>
    <w:pPr>
      <w:numPr>
        <w:ilvl w:val="0"/>
        <w:numId w:val="0"/>
      </w:numPr>
    </w:pPr>
    <w:rPr>
      <w:b w:val="0"/>
    </w:rPr>
  </w:style>
  <w:style w:type="paragraph" w:styleId="EndnoteText">
    <w:name w:val="endnote text"/>
    <w:basedOn w:val="Normal"/>
    <w:link w:val="EndnoteTextChar1"/>
    <w:semiHidden/>
    <w:rsid w:val="00D43B63"/>
    <w:rPr>
      <w:szCs w:val="20"/>
    </w:rPr>
  </w:style>
  <w:style w:type="character" w:customStyle="1" w:styleId="EndnoteTextChar">
    <w:name w:val="Endnote Text Char"/>
    <w:semiHidden/>
    <w:rsid w:val="008A1C4B"/>
    <w:rPr>
      <w:rFonts w:ascii="Arial" w:hAnsi="Arial" w:cs="Times New Roman"/>
      <w:lang w:val="x-none" w:eastAsia="en-US"/>
    </w:rPr>
  </w:style>
  <w:style w:type="paragraph" w:customStyle="1" w:styleId="NoteToDrafters0">
    <w:name w:val="Note To Drafters"/>
    <w:basedOn w:val="Normal"/>
    <w:next w:val="Normal"/>
    <w:autoRedefine/>
    <w:semiHidden/>
    <w:rsid w:val="008A1C4B"/>
    <w:pPr>
      <w:keepNext/>
      <w:shd w:val="clear" w:color="auto" w:fill="000000"/>
      <w:spacing w:before="120"/>
    </w:pPr>
    <w:rPr>
      <w:b/>
      <w:i/>
    </w:rPr>
  </w:style>
  <w:style w:type="paragraph" w:customStyle="1" w:styleId="NotetoTenderers0">
    <w:name w:val="Note to Tenderers"/>
    <w:basedOn w:val="Normal"/>
    <w:next w:val="Normal"/>
    <w:semiHidden/>
    <w:rsid w:val="008A1C4B"/>
    <w:pPr>
      <w:shd w:val="pct15" w:color="auto" w:fill="FFFFFF"/>
      <w:spacing w:before="120"/>
    </w:pPr>
    <w:rPr>
      <w:b/>
      <w:i/>
    </w:rPr>
  </w:style>
  <w:style w:type="paragraph" w:customStyle="1" w:styleId="Options">
    <w:name w:val="Options"/>
    <w:basedOn w:val="Normal"/>
    <w:next w:val="Normal"/>
    <w:semiHidden/>
    <w:rsid w:val="008A1C4B"/>
    <w:pPr>
      <w:widowControl w:val="0"/>
    </w:pPr>
    <w:rPr>
      <w:b/>
      <w:i/>
    </w:rPr>
  </w:style>
  <w:style w:type="paragraph" w:customStyle="1" w:styleId="subpara">
    <w:name w:val="sub para"/>
    <w:basedOn w:val="Normal"/>
    <w:semiHidden/>
    <w:rsid w:val="008A1C4B"/>
    <w:pPr>
      <w:tabs>
        <w:tab w:val="num" w:pos="1134"/>
        <w:tab w:val="left" w:pos="1418"/>
      </w:tabs>
      <w:ind w:left="1134" w:hanging="567"/>
    </w:pPr>
  </w:style>
  <w:style w:type="paragraph" w:customStyle="1" w:styleId="subsubpara">
    <w:name w:val="sub sub para"/>
    <w:basedOn w:val="Normal"/>
    <w:autoRedefine/>
    <w:semiHidden/>
    <w:rsid w:val="008A1C4B"/>
    <w:pPr>
      <w:tabs>
        <w:tab w:val="left" w:pos="1985"/>
        <w:tab w:val="num" w:pos="2138"/>
      </w:tabs>
      <w:ind w:left="1985" w:hanging="567"/>
    </w:pPr>
  </w:style>
  <w:style w:type="paragraph" w:customStyle="1" w:styleId="TitleCase">
    <w:name w:val="Title Case"/>
    <w:basedOn w:val="Normal"/>
    <w:next w:val="Normal"/>
    <w:semiHidden/>
    <w:rsid w:val="008A1C4B"/>
    <w:rPr>
      <w:b/>
      <w:caps/>
    </w:rPr>
  </w:style>
  <w:style w:type="paragraph" w:customStyle="1" w:styleId="Recitals">
    <w:name w:val="Recitals"/>
    <w:basedOn w:val="Normal"/>
    <w:semiHidden/>
    <w:rsid w:val="008A1C4B"/>
    <w:pPr>
      <w:tabs>
        <w:tab w:val="left" w:pos="851"/>
        <w:tab w:val="num" w:pos="1134"/>
      </w:tabs>
    </w:pPr>
  </w:style>
  <w:style w:type="paragraph" w:customStyle="1" w:styleId="NormalIndent1">
    <w:name w:val="Normal Indent1"/>
    <w:basedOn w:val="Normal"/>
    <w:autoRedefine/>
    <w:semiHidden/>
    <w:rsid w:val="008A1C4B"/>
    <w:pPr>
      <w:keepNext/>
      <w:ind w:left="851"/>
    </w:pPr>
  </w:style>
  <w:style w:type="paragraph" w:customStyle="1" w:styleId="TablePara">
    <w:name w:val="Table Para"/>
    <w:autoRedefine/>
    <w:semiHidden/>
    <w:rsid w:val="008A1C4B"/>
    <w:pPr>
      <w:numPr>
        <w:numId w:val="22"/>
      </w:numPr>
      <w:spacing w:before="120" w:after="120"/>
      <w:jc w:val="both"/>
    </w:pPr>
    <w:rPr>
      <w:rFonts w:ascii="Arial" w:hAnsi="Arial"/>
      <w:noProof/>
      <w:lang w:val="en-US" w:eastAsia="en-US"/>
    </w:rPr>
  </w:style>
  <w:style w:type="paragraph" w:customStyle="1" w:styleId="TableStyle">
    <w:name w:val="Table Style"/>
    <w:basedOn w:val="Normal"/>
    <w:autoRedefine/>
    <w:semiHidden/>
    <w:rsid w:val="008A1C4B"/>
  </w:style>
  <w:style w:type="paragraph" w:customStyle="1" w:styleId="TableSubpara">
    <w:name w:val="Table Subpara"/>
    <w:autoRedefine/>
    <w:semiHidden/>
    <w:rsid w:val="008A1C4B"/>
    <w:pPr>
      <w:spacing w:before="120" w:after="120"/>
      <w:ind w:left="568" w:hanging="568"/>
      <w:jc w:val="both"/>
    </w:pPr>
    <w:rPr>
      <w:rFonts w:ascii="Arial" w:hAnsi="Arial"/>
      <w:noProof/>
      <w:lang w:val="en-US" w:eastAsia="en-US"/>
    </w:rPr>
  </w:style>
  <w:style w:type="paragraph" w:customStyle="1" w:styleId="Indentlist">
    <w:name w:val="Indent list"/>
    <w:basedOn w:val="Normal"/>
    <w:rsid w:val="008A1C4B"/>
    <w:pPr>
      <w:numPr>
        <w:numId w:val="23"/>
      </w:numPr>
      <w:tabs>
        <w:tab w:val="left" w:pos="1701"/>
      </w:tabs>
    </w:pPr>
  </w:style>
  <w:style w:type="paragraph" w:customStyle="1" w:styleId="Level11fo">
    <w:name w:val="Level 1.1fo"/>
    <w:basedOn w:val="Normal"/>
    <w:rsid w:val="008A1C4B"/>
    <w:pPr>
      <w:spacing w:before="200" w:after="0" w:line="240" w:lineRule="atLeast"/>
      <w:ind w:left="720"/>
    </w:pPr>
    <w:rPr>
      <w:rFonts w:eastAsia="SimSun"/>
      <w:szCs w:val="20"/>
      <w:lang w:eastAsia="zh-CN"/>
    </w:rPr>
  </w:style>
  <w:style w:type="character" w:customStyle="1" w:styleId="ArialBold10">
    <w:name w:val="ArialBold10"/>
    <w:rsid w:val="008A1C4B"/>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156622"/>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ED187E"/>
    <w:rPr>
      <w:rFonts w:ascii="Cambria" w:hAnsi="Cambria"/>
      <w:b/>
      <w:bCs/>
      <w:color w:val="4F81BD"/>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locked/>
    <w:rsid w:val="005F5357"/>
    <w:rPr>
      <w:rFonts w:ascii="Arial" w:hAnsi="Arial"/>
      <w:b/>
      <w:sz w:val="24"/>
      <w:szCs w:val="24"/>
    </w:rPr>
  </w:style>
  <w:style w:type="character" w:customStyle="1" w:styleId="Heading4Char">
    <w:name w:val="Heading 4 Char"/>
    <w:aliases w:val="h4 Char1,h41 Char1,h42 Char1,h411 Char1,h43 Char1,h412 Char1,h44 Char1,h413 Char1,h45 Char1,h414 Char1,h46 Char1,h415 Char1,h47 Char1,h416 Char1,h421 Char1,h4111 Char1,h431 Char1,h4121 Char1,h441 Char1,h4131 Char1,h451 Char1,h4141 Char1"/>
    <w:link w:val="Heading4"/>
    <w:locked/>
    <w:rsid w:val="005F5357"/>
    <w:rPr>
      <w:rFonts w:ascii="Arial" w:hAnsi="Arial"/>
      <w:b/>
      <w:i/>
      <w:sz w:val="24"/>
      <w:szCs w:val="24"/>
    </w:rPr>
  </w:style>
  <w:style w:type="character" w:customStyle="1" w:styleId="Heading5Char">
    <w:name w:val="Heading 5 Char"/>
    <w:aliases w:val="Para5 Char1,i. Char"/>
    <w:link w:val="Heading5"/>
    <w:locked/>
    <w:rsid w:val="005F5357"/>
    <w:rPr>
      <w:rFonts w:ascii="Arial" w:hAnsi="Arial"/>
      <w:sz w:val="22"/>
      <w:szCs w:val="24"/>
    </w:rPr>
  </w:style>
  <w:style w:type="character" w:customStyle="1" w:styleId="Heading6Char">
    <w:name w:val="Heading 6 Char"/>
    <w:aliases w:val="A. Char"/>
    <w:link w:val="Heading6"/>
    <w:locked/>
    <w:rsid w:val="005F5357"/>
    <w:rPr>
      <w:rFonts w:ascii="Arial" w:hAnsi="Arial"/>
      <w:i/>
      <w:sz w:val="22"/>
      <w:szCs w:val="24"/>
    </w:rPr>
  </w:style>
  <w:style w:type="character" w:customStyle="1" w:styleId="Heading7Char">
    <w:name w:val="Heading 7 Char"/>
    <w:aliases w:val="(i) Char"/>
    <w:link w:val="Heading7"/>
    <w:locked/>
    <w:rsid w:val="005F5357"/>
    <w:rPr>
      <w:rFonts w:ascii="Arial" w:hAnsi="Arial"/>
      <w:szCs w:val="24"/>
    </w:rPr>
  </w:style>
  <w:style w:type="character" w:customStyle="1" w:styleId="Heading8Char">
    <w:name w:val="Heading 8 Char"/>
    <w:aliases w:val="(A) Char"/>
    <w:link w:val="Heading8"/>
    <w:locked/>
    <w:rsid w:val="005F5357"/>
    <w:rPr>
      <w:rFonts w:ascii="Arial" w:hAnsi="Arial"/>
      <w:i/>
      <w:szCs w:val="24"/>
    </w:rPr>
  </w:style>
  <w:style w:type="character" w:customStyle="1" w:styleId="Heading9Char">
    <w:name w:val="Heading 9 Char"/>
    <w:aliases w:val="I Char"/>
    <w:link w:val="Heading9"/>
    <w:locked/>
    <w:rsid w:val="005F5357"/>
    <w:rPr>
      <w:rFonts w:ascii="Arial" w:hAnsi="Arial"/>
      <w:i/>
      <w:sz w:val="18"/>
      <w:szCs w:val="24"/>
    </w:rPr>
  </w:style>
  <w:style w:type="character" w:customStyle="1" w:styleId="HeaderChar">
    <w:name w:val="Header Char"/>
    <w:semiHidden/>
    <w:locked/>
    <w:rsid w:val="008A1C4B"/>
    <w:rPr>
      <w:rFonts w:ascii="Arial" w:hAnsi="Arial" w:cs="Times New Roman"/>
      <w:sz w:val="22"/>
      <w:szCs w:val="22"/>
      <w:lang w:val="x-none" w:eastAsia="en-US"/>
    </w:rPr>
  </w:style>
  <w:style w:type="character" w:customStyle="1" w:styleId="FooterChar">
    <w:name w:val="Footer Char"/>
    <w:semiHidden/>
    <w:locked/>
    <w:rsid w:val="008A1C4B"/>
    <w:rPr>
      <w:rFonts w:ascii="Arial" w:hAnsi="Arial" w:cs="Times New Roman"/>
      <w:sz w:val="22"/>
      <w:szCs w:val="22"/>
      <w:lang w:val="x-none" w:eastAsia="en-US"/>
    </w:rPr>
  </w:style>
  <w:style w:type="character" w:customStyle="1" w:styleId="CommentTextChar">
    <w:name w:val="Comment Text Char"/>
    <w:semiHidden/>
    <w:locked/>
    <w:rsid w:val="008A1C4B"/>
    <w:rPr>
      <w:rFonts w:ascii="Arial" w:hAnsi="Arial" w:cs="Times New Roman"/>
      <w:lang w:val="x-none" w:eastAsia="en-US"/>
    </w:rPr>
  </w:style>
  <w:style w:type="character" w:customStyle="1" w:styleId="CommentSubjectChar">
    <w:name w:val="Comment Subject Char"/>
    <w:semiHidden/>
    <w:locked/>
    <w:rsid w:val="008A1C4B"/>
    <w:rPr>
      <w:rFonts w:ascii="Arial" w:hAnsi="Arial" w:cs="Times New Roman"/>
      <w:b/>
      <w:bCs/>
      <w:lang w:val="x-none" w:eastAsia="en-US"/>
    </w:rPr>
  </w:style>
  <w:style w:type="character" w:customStyle="1" w:styleId="BalloonTextChar">
    <w:name w:val="Balloon Text Char"/>
    <w:link w:val="BalloonText"/>
    <w:locked/>
    <w:rsid w:val="00727A10"/>
    <w:rPr>
      <w:rFonts w:ascii="Arial" w:hAnsi="Arial"/>
      <w:sz w:val="18"/>
    </w:rPr>
  </w:style>
  <w:style w:type="character" w:customStyle="1" w:styleId="SC430">
    <w:name w:val="SC430"/>
    <w:rsid w:val="008A1C4B"/>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
    <w:locked/>
    <w:rsid w:val="00F52B1C"/>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F52B1C"/>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F52B1C"/>
    <w:rPr>
      <w:b/>
      <w:bCs/>
      <w:szCs w:val="24"/>
    </w:rPr>
  </w:style>
  <w:style w:type="character" w:customStyle="1" w:styleId="Heading4Char1">
    <w:name w:val="Heading 4 Char1"/>
    <w:aliases w:val="h4 Char,h41 Char,h42 Char,h411 Char,h43 Char,h412 Char,h44 Char,h413 Char,h45 Char,h414 Char,h46 Char,h415 Char,h47 Char,h416 Char,h421 Char,h4111 Char,h431 Char,h4121 Char,h441 Char,h4131 Char,h451 Char,h4141 Char,h461 Char,h4151 Char"/>
    <w:uiPriority w:val="9"/>
    <w:locked/>
    <w:rsid w:val="00F52B1C"/>
    <w:rPr>
      <w:b/>
      <w:bCs/>
      <w:iCs/>
      <w:szCs w:val="24"/>
    </w:rPr>
  </w:style>
  <w:style w:type="character" w:customStyle="1" w:styleId="Heading5Char1">
    <w:name w:val="Heading 5 Char1"/>
    <w:aliases w:val="Para5 Char"/>
    <w:locked/>
    <w:rsid w:val="00F52B1C"/>
    <w:rPr>
      <w:rFonts w:ascii="Arial" w:hAnsi="Arial"/>
      <w:b/>
      <w:bCs/>
      <w:iCs/>
      <w:szCs w:val="26"/>
    </w:rPr>
  </w:style>
  <w:style w:type="character" w:customStyle="1" w:styleId="Heading6Char1">
    <w:name w:val="Heading 6 Char1"/>
    <w:locked/>
    <w:rsid w:val="00F52B1C"/>
    <w:rPr>
      <w:b/>
      <w:bCs/>
      <w:sz w:val="22"/>
      <w:szCs w:val="24"/>
    </w:rPr>
  </w:style>
  <w:style w:type="character" w:customStyle="1" w:styleId="Heading7Char1">
    <w:name w:val="Heading 7 Char1"/>
    <w:locked/>
    <w:rsid w:val="00F52B1C"/>
    <w:rPr>
      <w:sz w:val="24"/>
      <w:szCs w:val="24"/>
    </w:rPr>
  </w:style>
  <w:style w:type="character" w:customStyle="1" w:styleId="Heading8Char1">
    <w:name w:val="Heading 8 Char1"/>
    <w:locked/>
    <w:rsid w:val="00F52B1C"/>
    <w:rPr>
      <w:i/>
      <w:iCs/>
      <w:sz w:val="24"/>
      <w:szCs w:val="24"/>
    </w:rPr>
  </w:style>
  <w:style w:type="character" w:customStyle="1" w:styleId="Heading9Char1">
    <w:name w:val="Heading 9 Char1"/>
    <w:locked/>
    <w:rsid w:val="00F52B1C"/>
    <w:rPr>
      <w:rFonts w:ascii="Arial" w:hAnsi="Arial" w:cs="Arial"/>
      <w:sz w:val="22"/>
      <w:szCs w:val="24"/>
    </w:rPr>
  </w:style>
  <w:style w:type="paragraph" w:styleId="TOC4">
    <w:name w:val="toc 4"/>
    <w:basedOn w:val="Normal"/>
    <w:next w:val="Normal"/>
    <w:autoRedefine/>
    <w:rsid w:val="00ED187E"/>
    <w:pPr>
      <w:spacing w:after="100"/>
      <w:ind w:left="600"/>
    </w:pPr>
  </w:style>
  <w:style w:type="paragraph" w:styleId="TOC5">
    <w:name w:val="toc 5"/>
    <w:basedOn w:val="Normal"/>
    <w:next w:val="Normal"/>
    <w:autoRedefine/>
    <w:rsid w:val="00ED187E"/>
    <w:pPr>
      <w:spacing w:after="100"/>
      <w:ind w:left="800"/>
    </w:pPr>
  </w:style>
  <w:style w:type="paragraph" w:styleId="TOC6">
    <w:name w:val="toc 6"/>
    <w:basedOn w:val="Normal"/>
    <w:next w:val="Normal"/>
    <w:autoRedefine/>
    <w:rsid w:val="00ED187E"/>
    <w:pPr>
      <w:spacing w:after="100"/>
      <w:ind w:left="1000"/>
    </w:pPr>
  </w:style>
  <w:style w:type="paragraph" w:styleId="TOC7">
    <w:name w:val="toc 7"/>
    <w:basedOn w:val="Normal"/>
    <w:next w:val="Normal"/>
    <w:autoRedefine/>
    <w:rsid w:val="00ED187E"/>
    <w:pPr>
      <w:spacing w:after="100"/>
      <w:ind w:left="1200"/>
    </w:pPr>
  </w:style>
  <w:style w:type="paragraph" w:styleId="TOC8">
    <w:name w:val="toc 8"/>
    <w:basedOn w:val="Normal"/>
    <w:next w:val="Normal"/>
    <w:autoRedefine/>
    <w:rsid w:val="00ED187E"/>
    <w:pPr>
      <w:spacing w:after="100"/>
      <w:ind w:left="1400"/>
    </w:pPr>
  </w:style>
  <w:style w:type="paragraph" w:styleId="TOC9">
    <w:name w:val="toc 9"/>
    <w:basedOn w:val="Normal"/>
    <w:next w:val="Normal"/>
    <w:autoRedefine/>
    <w:rsid w:val="00ED187E"/>
    <w:pPr>
      <w:spacing w:after="100"/>
      <w:ind w:left="1600"/>
    </w:pPr>
  </w:style>
  <w:style w:type="character" w:customStyle="1" w:styleId="CommentTextChar1">
    <w:name w:val="Comment Text Char1"/>
    <w:link w:val="CommentText"/>
    <w:semiHidden/>
    <w:rsid w:val="008A1C4B"/>
    <w:rPr>
      <w:rFonts w:ascii="Arial" w:eastAsia="Calibri" w:hAnsi="Arial"/>
      <w:szCs w:val="22"/>
      <w:lang w:eastAsia="en-US"/>
    </w:rPr>
  </w:style>
  <w:style w:type="character" w:customStyle="1" w:styleId="HeaderChar1">
    <w:name w:val="Header Char1"/>
    <w:link w:val="Header"/>
    <w:rsid w:val="008A1C4B"/>
    <w:rPr>
      <w:rFonts w:ascii="Arial" w:eastAsia="Calibri" w:hAnsi="Arial"/>
      <w:szCs w:val="22"/>
      <w:lang w:eastAsia="en-US"/>
    </w:rPr>
  </w:style>
  <w:style w:type="character" w:customStyle="1" w:styleId="FooterChar1">
    <w:name w:val="Footer Char1"/>
    <w:link w:val="Footer"/>
    <w:rsid w:val="008A1C4B"/>
    <w:rPr>
      <w:rFonts w:ascii="Arial" w:eastAsia="Calibri" w:hAnsi="Arial"/>
      <w:szCs w:val="22"/>
      <w:lang w:eastAsia="en-US"/>
    </w:rPr>
  </w:style>
  <w:style w:type="character" w:customStyle="1" w:styleId="EndnoteTextChar1">
    <w:name w:val="Endnote Text Char1"/>
    <w:link w:val="EndnoteText"/>
    <w:semiHidden/>
    <w:locked/>
    <w:rsid w:val="008A1C4B"/>
    <w:rPr>
      <w:rFonts w:ascii="Arial" w:eastAsia="Calibri" w:hAnsi="Arial"/>
      <w:lang w:val="en-AU" w:eastAsia="en-US" w:bidi="ar-SA"/>
    </w:rPr>
  </w:style>
  <w:style w:type="character" w:customStyle="1" w:styleId="BodyTextChar1">
    <w:name w:val="Body Text Char1"/>
    <w:link w:val="BodyText"/>
    <w:locked/>
    <w:rsid w:val="008A1C4B"/>
    <w:rPr>
      <w:rFonts w:ascii="Arial" w:eastAsia="Calibri" w:hAnsi="Arial"/>
      <w:szCs w:val="22"/>
      <w:lang w:val="en-AU" w:eastAsia="en-US" w:bidi="ar-SA"/>
    </w:rPr>
  </w:style>
  <w:style w:type="character" w:styleId="Hyperlink">
    <w:name w:val="Hyperlink"/>
    <w:uiPriority w:val="99"/>
    <w:unhideWhenUsed/>
    <w:rsid w:val="00ED187E"/>
    <w:rPr>
      <w:color w:val="0000FF"/>
      <w:u w:val="single"/>
    </w:rPr>
  </w:style>
  <w:style w:type="character" w:styleId="FollowedHyperlink">
    <w:name w:val="FollowedHyperlink"/>
    <w:semiHidden/>
    <w:rsid w:val="008A1C4B"/>
    <w:rPr>
      <w:rFonts w:cs="Times New Roman"/>
      <w:color w:val="800080"/>
      <w:u w:val="single"/>
    </w:rPr>
  </w:style>
  <w:style w:type="character" w:styleId="Emphasis">
    <w:name w:val="Emphasis"/>
    <w:qFormat/>
    <w:rsid w:val="00F52B1C"/>
    <w:rPr>
      <w:i/>
      <w:iCs/>
    </w:rPr>
  </w:style>
  <w:style w:type="character" w:customStyle="1" w:styleId="CommentSubjectChar1">
    <w:name w:val="Comment Subject Char1"/>
    <w:link w:val="CommentSubject"/>
    <w:semiHidden/>
    <w:rsid w:val="008A1C4B"/>
    <w:rPr>
      <w:rFonts w:ascii="Arial" w:eastAsia="Calibri" w:hAnsi="Arial"/>
      <w:b/>
      <w:bCs/>
      <w:szCs w:val="22"/>
      <w:lang w:eastAsia="en-US"/>
    </w:rPr>
  </w:style>
  <w:style w:type="character" w:customStyle="1" w:styleId="BalloonTextChar1">
    <w:name w:val="Balloon Text Char1"/>
    <w:semiHidden/>
    <w:rsid w:val="008A1C4B"/>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ED187E"/>
    <w:pPr>
      <w:keepNext/>
      <w:keepLines/>
      <w:numPr>
        <w:ilvl w:val="1"/>
        <w:numId w:val="24"/>
      </w:numPr>
      <w:pBdr>
        <w:bottom w:val="single" w:sz="4" w:space="1" w:color="auto"/>
      </w:pBdr>
    </w:pPr>
    <w:rPr>
      <w:b/>
    </w:rPr>
  </w:style>
  <w:style w:type="paragraph" w:customStyle="1" w:styleId="ASDEFCONNormal">
    <w:name w:val="ASDEFCON Normal"/>
    <w:link w:val="ASDEFCONNormalChar"/>
    <w:rsid w:val="00ED187E"/>
    <w:pPr>
      <w:spacing w:after="120"/>
      <w:jc w:val="both"/>
    </w:pPr>
    <w:rPr>
      <w:rFonts w:ascii="Arial" w:hAnsi="Arial"/>
      <w:color w:val="000000"/>
      <w:szCs w:val="40"/>
    </w:rPr>
  </w:style>
  <w:style w:type="character" w:customStyle="1" w:styleId="ASDEFCONNormalChar">
    <w:name w:val="ASDEFCON Normal Char"/>
    <w:link w:val="ASDEFCONNormal"/>
    <w:rsid w:val="00ED187E"/>
    <w:rPr>
      <w:rFonts w:ascii="Arial" w:hAnsi="Arial"/>
      <w:color w:val="000000"/>
      <w:szCs w:val="40"/>
    </w:rPr>
  </w:style>
  <w:style w:type="paragraph" w:customStyle="1" w:styleId="COTCOCLV3-ASDEFCON">
    <w:name w:val="COT/COC LV3 - ASDEFCON"/>
    <w:basedOn w:val="ASDEFCONNormal"/>
    <w:rsid w:val="00ED187E"/>
    <w:pPr>
      <w:numPr>
        <w:ilvl w:val="2"/>
        <w:numId w:val="24"/>
      </w:numPr>
    </w:pPr>
  </w:style>
  <w:style w:type="paragraph" w:customStyle="1" w:styleId="COTCOCLV1-ASDEFCON">
    <w:name w:val="COT/COC LV1 - ASDEFCON"/>
    <w:basedOn w:val="ASDEFCONNormal"/>
    <w:next w:val="COTCOCLV2-ASDEFCON"/>
    <w:rsid w:val="00ED187E"/>
    <w:pPr>
      <w:keepNext/>
      <w:keepLines/>
      <w:numPr>
        <w:numId w:val="24"/>
      </w:numPr>
      <w:spacing w:before="240"/>
    </w:pPr>
    <w:rPr>
      <w:b/>
      <w:caps/>
    </w:rPr>
  </w:style>
  <w:style w:type="paragraph" w:customStyle="1" w:styleId="COTCOCLV4-ASDEFCON">
    <w:name w:val="COT/COC LV4 - ASDEFCON"/>
    <w:basedOn w:val="ASDEFCONNormal"/>
    <w:rsid w:val="00ED187E"/>
    <w:pPr>
      <w:numPr>
        <w:ilvl w:val="3"/>
        <w:numId w:val="24"/>
      </w:numPr>
    </w:pPr>
  </w:style>
  <w:style w:type="paragraph" w:customStyle="1" w:styleId="COTCOCLV5-ASDEFCON">
    <w:name w:val="COT/COC LV5 - ASDEFCON"/>
    <w:basedOn w:val="ASDEFCONNormal"/>
    <w:rsid w:val="00ED187E"/>
    <w:pPr>
      <w:numPr>
        <w:ilvl w:val="4"/>
        <w:numId w:val="24"/>
      </w:numPr>
    </w:pPr>
  </w:style>
  <w:style w:type="paragraph" w:customStyle="1" w:styleId="COTCOCLV6-ASDEFCON">
    <w:name w:val="COT/COC LV6 - ASDEFCON"/>
    <w:basedOn w:val="ASDEFCONNormal"/>
    <w:rsid w:val="00ED187E"/>
    <w:pPr>
      <w:keepLines/>
      <w:numPr>
        <w:ilvl w:val="5"/>
        <w:numId w:val="24"/>
      </w:numPr>
    </w:pPr>
  </w:style>
  <w:style w:type="paragraph" w:customStyle="1" w:styleId="ASDEFCONOption">
    <w:name w:val="ASDEFCON Option"/>
    <w:basedOn w:val="ASDEFCONNormal"/>
    <w:rsid w:val="00ED187E"/>
    <w:pPr>
      <w:keepNext/>
      <w:spacing w:before="60"/>
    </w:pPr>
    <w:rPr>
      <w:b/>
      <w:i/>
      <w:szCs w:val="24"/>
    </w:rPr>
  </w:style>
  <w:style w:type="paragraph" w:customStyle="1" w:styleId="NoteToDrafters-ASDEFCON">
    <w:name w:val="Note To Drafters - ASDEFCON"/>
    <w:basedOn w:val="ASDEFCONNormal"/>
    <w:rsid w:val="00ED187E"/>
    <w:pPr>
      <w:keepNext/>
      <w:shd w:val="clear" w:color="auto" w:fill="000000"/>
    </w:pPr>
    <w:rPr>
      <w:b/>
      <w:i/>
      <w:color w:val="FFFFFF"/>
    </w:rPr>
  </w:style>
  <w:style w:type="paragraph" w:customStyle="1" w:styleId="NoteToTenderers-ASDEFCON">
    <w:name w:val="Note To Tenderers - ASDEFCON"/>
    <w:basedOn w:val="ASDEFCONNormal"/>
    <w:rsid w:val="00ED187E"/>
    <w:pPr>
      <w:keepNext/>
      <w:shd w:val="pct15" w:color="auto" w:fill="auto"/>
    </w:pPr>
    <w:rPr>
      <w:b/>
      <w:i/>
    </w:rPr>
  </w:style>
  <w:style w:type="paragraph" w:customStyle="1" w:styleId="ASDEFCONTitle">
    <w:name w:val="ASDEFCON Title"/>
    <w:basedOn w:val="Normal"/>
    <w:rsid w:val="00ED187E"/>
    <w:pPr>
      <w:keepLines/>
      <w:spacing w:before="240"/>
      <w:jc w:val="center"/>
    </w:pPr>
    <w:rPr>
      <w:b/>
      <w:caps/>
    </w:rPr>
  </w:style>
  <w:style w:type="paragraph" w:customStyle="1" w:styleId="ATTANNLV1-ASDEFCON">
    <w:name w:val="ATT/ANN LV1 - ASDEFCON"/>
    <w:basedOn w:val="ASDEFCONNormal"/>
    <w:next w:val="ATTANNLV2-ASDEFCON"/>
    <w:rsid w:val="00ED187E"/>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D187E"/>
    <w:pPr>
      <w:numPr>
        <w:ilvl w:val="1"/>
        <w:numId w:val="25"/>
      </w:numPr>
    </w:pPr>
    <w:rPr>
      <w:szCs w:val="24"/>
    </w:rPr>
  </w:style>
  <w:style w:type="character" w:customStyle="1" w:styleId="ATTANNLV2-ASDEFCONChar">
    <w:name w:val="ATT/ANN LV2 - ASDEFCON Char"/>
    <w:link w:val="ATTANNLV2-ASDEFCON"/>
    <w:rsid w:val="00ED187E"/>
    <w:rPr>
      <w:rFonts w:ascii="Arial" w:hAnsi="Arial"/>
      <w:color w:val="000000"/>
      <w:szCs w:val="24"/>
    </w:rPr>
  </w:style>
  <w:style w:type="paragraph" w:customStyle="1" w:styleId="ATTANNLV3-ASDEFCON">
    <w:name w:val="ATT/ANN LV3 - ASDEFCON"/>
    <w:basedOn w:val="ASDEFCONNormal"/>
    <w:rsid w:val="00ED187E"/>
    <w:pPr>
      <w:numPr>
        <w:ilvl w:val="2"/>
        <w:numId w:val="25"/>
      </w:numPr>
    </w:pPr>
    <w:rPr>
      <w:szCs w:val="24"/>
    </w:rPr>
  </w:style>
  <w:style w:type="paragraph" w:customStyle="1" w:styleId="ATTANNLV4-ASDEFCON">
    <w:name w:val="ATT/ANN LV4 - ASDEFCON"/>
    <w:basedOn w:val="ASDEFCONNormal"/>
    <w:rsid w:val="00ED187E"/>
    <w:pPr>
      <w:numPr>
        <w:ilvl w:val="3"/>
        <w:numId w:val="25"/>
      </w:numPr>
    </w:pPr>
    <w:rPr>
      <w:szCs w:val="24"/>
    </w:rPr>
  </w:style>
  <w:style w:type="paragraph" w:customStyle="1" w:styleId="ASDEFCONCoverTitle">
    <w:name w:val="ASDEFCON Cover Title"/>
    <w:rsid w:val="00ED187E"/>
    <w:pPr>
      <w:jc w:val="center"/>
    </w:pPr>
    <w:rPr>
      <w:rFonts w:ascii="Georgia" w:hAnsi="Georgia"/>
      <w:b/>
      <w:color w:val="000000"/>
      <w:sz w:val="100"/>
      <w:szCs w:val="24"/>
    </w:rPr>
  </w:style>
  <w:style w:type="paragraph" w:customStyle="1" w:styleId="ASDEFCONHeaderFooterLeft">
    <w:name w:val="ASDEFCON Header/Footer Left"/>
    <w:basedOn w:val="ASDEFCONNormal"/>
    <w:rsid w:val="00ED187E"/>
    <w:pPr>
      <w:spacing w:after="0"/>
      <w:jc w:val="left"/>
    </w:pPr>
    <w:rPr>
      <w:sz w:val="16"/>
      <w:szCs w:val="24"/>
    </w:rPr>
  </w:style>
  <w:style w:type="paragraph" w:customStyle="1" w:styleId="ASDEFCONCoverPageIncorp">
    <w:name w:val="ASDEFCON Cover Page Incorp"/>
    <w:rsid w:val="00ED187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D187E"/>
    <w:rPr>
      <w:b/>
      <w:i/>
    </w:rPr>
  </w:style>
  <w:style w:type="paragraph" w:customStyle="1" w:styleId="COTCOCLV2NONUM-ASDEFCON">
    <w:name w:val="COT/COC LV2 NONUM - ASDEFCON"/>
    <w:basedOn w:val="COTCOCLV2-ASDEFCON"/>
    <w:next w:val="COTCOCLV3-ASDEFCON"/>
    <w:rsid w:val="00ED187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D187E"/>
    <w:pPr>
      <w:keepNext w:val="0"/>
      <w:numPr>
        <w:numId w:val="0"/>
      </w:numPr>
      <w:ind w:left="851"/>
    </w:pPr>
    <w:rPr>
      <w:bCs/>
      <w:szCs w:val="20"/>
    </w:rPr>
  </w:style>
  <w:style w:type="paragraph" w:customStyle="1" w:styleId="COTCOCLV3NONUM-ASDEFCON">
    <w:name w:val="COT/COC LV3 NONUM - ASDEFCON"/>
    <w:basedOn w:val="COTCOCLV3-ASDEFCON"/>
    <w:next w:val="COTCOCLV3-ASDEFCON"/>
    <w:rsid w:val="00ED187E"/>
    <w:pPr>
      <w:numPr>
        <w:ilvl w:val="0"/>
        <w:numId w:val="0"/>
      </w:numPr>
      <w:ind w:left="851"/>
    </w:pPr>
    <w:rPr>
      <w:szCs w:val="20"/>
    </w:rPr>
  </w:style>
  <w:style w:type="paragraph" w:customStyle="1" w:styleId="COTCOCLV4NONUM-ASDEFCON">
    <w:name w:val="COT/COC LV4 NONUM - ASDEFCON"/>
    <w:basedOn w:val="COTCOCLV4-ASDEFCON"/>
    <w:next w:val="COTCOCLV4-ASDEFCON"/>
    <w:rsid w:val="00ED187E"/>
    <w:pPr>
      <w:numPr>
        <w:ilvl w:val="0"/>
        <w:numId w:val="0"/>
      </w:numPr>
      <w:ind w:left="1418"/>
    </w:pPr>
    <w:rPr>
      <w:szCs w:val="20"/>
    </w:rPr>
  </w:style>
  <w:style w:type="paragraph" w:customStyle="1" w:styleId="COTCOCLV5NONUM-ASDEFCON">
    <w:name w:val="COT/COC LV5 NONUM - ASDEFCON"/>
    <w:basedOn w:val="COTCOCLV5-ASDEFCON"/>
    <w:next w:val="COTCOCLV5-ASDEFCON"/>
    <w:rsid w:val="00ED187E"/>
    <w:pPr>
      <w:numPr>
        <w:ilvl w:val="0"/>
        <w:numId w:val="0"/>
      </w:numPr>
      <w:ind w:left="1985"/>
    </w:pPr>
    <w:rPr>
      <w:szCs w:val="20"/>
    </w:rPr>
  </w:style>
  <w:style w:type="paragraph" w:customStyle="1" w:styleId="COTCOCLV6NONUM-ASDEFCON">
    <w:name w:val="COT/COC LV6 NONUM - ASDEFCON"/>
    <w:basedOn w:val="COTCOCLV6-ASDEFCON"/>
    <w:next w:val="COTCOCLV6-ASDEFCON"/>
    <w:rsid w:val="00ED187E"/>
    <w:pPr>
      <w:numPr>
        <w:ilvl w:val="0"/>
        <w:numId w:val="0"/>
      </w:numPr>
      <w:ind w:left="2552"/>
    </w:pPr>
    <w:rPr>
      <w:szCs w:val="20"/>
    </w:rPr>
  </w:style>
  <w:style w:type="paragraph" w:customStyle="1" w:styleId="ATTANNLV1NONUM-ASDEFCON">
    <w:name w:val="ATT/ANN LV1 NONUM - ASDEFCON"/>
    <w:basedOn w:val="ATTANNLV1-ASDEFCON"/>
    <w:next w:val="ATTANNLV2-ASDEFCON"/>
    <w:rsid w:val="00ED187E"/>
    <w:pPr>
      <w:numPr>
        <w:numId w:val="0"/>
      </w:numPr>
      <w:ind w:left="851"/>
    </w:pPr>
    <w:rPr>
      <w:bCs/>
      <w:szCs w:val="20"/>
    </w:rPr>
  </w:style>
  <w:style w:type="paragraph" w:customStyle="1" w:styleId="ATTANNLV2NONUM-ASDEFCON">
    <w:name w:val="ATT/ANN LV2 NONUM - ASDEFCON"/>
    <w:basedOn w:val="ATTANNLV2-ASDEFCON"/>
    <w:next w:val="ATTANNLV2-ASDEFCON"/>
    <w:rsid w:val="00ED187E"/>
    <w:pPr>
      <w:numPr>
        <w:ilvl w:val="0"/>
        <w:numId w:val="0"/>
      </w:numPr>
      <w:ind w:left="851"/>
    </w:pPr>
    <w:rPr>
      <w:szCs w:val="20"/>
    </w:rPr>
  </w:style>
  <w:style w:type="paragraph" w:customStyle="1" w:styleId="ATTANNLV3NONUM-ASDEFCON">
    <w:name w:val="ATT/ANN LV3 NONUM - ASDEFCON"/>
    <w:basedOn w:val="ATTANNLV3-ASDEFCON"/>
    <w:next w:val="ATTANNLV3-ASDEFCON"/>
    <w:rsid w:val="00ED187E"/>
    <w:pPr>
      <w:numPr>
        <w:ilvl w:val="0"/>
        <w:numId w:val="0"/>
      </w:numPr>
      <w:ind w:left="1418"/>
    </w:pPr>
    <w:rPr>
      <w:szCs w:val="20"/>
    </w:rPr>
  </w:style>
  <w:style w:type="paragraph" w:customStyle="1" w:styleId="ATTANNLV4NONUM-ASDEFCON">
    <w:name w:val="ATT/ANN LV4 NONUM - ASDEFCON"/>
    <w:basedOn w:val="ATTANNLV4-ASDEFCON"/>
    <w:next w:val="ATTANNLV4-ASDEFCON"/>
    <w:rsid w:val="00ED187E"/>
    <w:pPr>
      <w:numPr>
        <w:ilvl w:val="0"/>
        <w:numId w:val="0"/>
      </w:numPr>
      <w:ind w:left="1985"/>
    </w:pPr>
    <w:rPr>
      <w:szCs w:val="20"/>
    </w:rPr>
  </w:style>
  <w:style w:type="paragraph" w:customStyle="1" w:styleId="NoteToDraftersBullets-ASDEFCON">
    <w:name w:val="Note To Drafters Bullets - ASDEFCON"/>
    <w:basedOn w:val="NoteToDrafters-ASDEFCON"/>
    <w:rsid w:val="00ED187E"/>
    <w:pPr>
      <w:numPr>
        <w:numId w:val="26"/>
      </w:numPr>
    </w:pPr>
    <w:rPr>
      <w:bCs/>
      <w:iCs/>
      <w:szCs w:val="20"/>
    </w:rPr>
  </w:style>
  <w:style w:type="paragraph" w:customStyle="1" w:styleId="NoteToDraftersList-ASDEFCON">
    <w:name w:val="Note To Drafters List - ASDEFCON"/>
    <w:basedOn w:val="NoteToDrafters-ASDEFCON"/>
    <w:rsid w:val="00ED187E"/>
    <w:pPr>
      <w:numPr>
        <w:numId w:val="27"/>
      </w:numPr>
    </w:pPr>
    <w:rPr>
      <w:bCs/>
      <w:iCs/>
      <w:szCs w:val="20"/>
    </w:rPr>
  </w:style>
  <w:style w:type="paragraph" w:customStyle="1" w:styleId="NoteToTenderersBullets-ASDEFCON">
    <w:name w:val="Note To Tenderers Bullets - ASDEFCON"/>
    <w:basedOn w:val="NoteToTenderers-ASDEFCON"/>
    <w:rsid w:val="00ED187E"/>
    <w:pPr>
      <w:numPr>
        <w:numId w:val="28"/>
      </w:numPr>
    </w:pPr>
    <w:rPr>
      <w:bCs/>
      <w:iCs/>
      <w:szCs w:val="20"/>
    </w:rPr>
  </w:style>
  <w:style w:type="paragraph" w:customStyle="1" w:styleId="NoteToTenderersList-ASDEFCON">
    <w:name w:val="Note To Tenderers List - ASDEFCON"/>
    <w:basedOn w:val="NoteToTenderers-ASDEFCON"/>
    <w:rsid w:val="00ED187E"/>
    <w:pPr>
      <w:numPr>
        <w:numId w:val="29"/>
      </w:numPr>
    </w:pPr>
    <w:rPr>
      <w:bCs/>
      <w:iCs/>
      <w:szCs w:val="20"/>
    </w:rPr>
  </w:style>
  <w:style w:type="paragraph" w:customStyle="1" w:styleId="SOWHL1-ASDEFCON">
    <w:name w:val="SOW HL1 - ASDEFCON"/>
    <w:basedOn w:val="ASDEFCONNormal"/>
    <w:next w:val="SOWHL2-ASDEFCON"/>
    <w:qFormat/>
    <w:rsid w:val="00ED187E"/>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D187E"/>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D187E"/>
    <w:pPr>
      <w:keepNext/>
      <w:numPr>
        <w:ilvl w:val="2"/>
        <w:numId w:val="15"/>
      </w:numPr>
    </w:pPr>
    <w:rPr>
      <w:rFonts w:eastAsia="Calibri"/>
      <w:b/>
      <w:szCs w:val="22"/>
      <w:lang w:eastAsia="en-US"/>
    </w:rPr>
  </w:style>
  <w:style w:type="paragraph" w:customStyle="1" w:styleId="SOWHL4-ASDEFCON">
    <w:name w:val="SOW HL4 - ASDEFCON"/>
    <w:basedOn w:val="ASDEFCONNormal"/>
    <w:qFormat/>
    <w:rsid w:val="00ED187E"/>
    <w:pPr>
      <w:keepNext/>
      <w:numPr>
        <w:ilvl w:val="3"/>
        <w:numId w:val="15"/>
      </w:numPr>
    </w:pPr>
    <w:rPr>
      <w:rFonts w:eastAsia="Calibri"/>
      <w:b/>
      <w:szCs w:val="22"/>
      <w:lang w:eastAsia="en-US"/>
    </w:rPr>
  </w:style>
  <w:style w:type="paragraph" w:customStyle="1" w:styleId="SOWHL5-ASDEFCON">
    <w:name w:val="SOW HL5 - ASDEFCON"/>
    <w:basedOn w:val="ASDEFCONNormal"/>
    <w:qFormat/>
    <w:rsid w:val="00ED187E"/>
    <w:pPr>
      <w:keepNext/>
      <w:numPr>
        <w:ilvl w:val="4"/>
        <w:numId w:val="15"/>
      </w:numPr>
    </w:pPr>
    <w:rPr>
      <w:rFonts w:eastAsia="Calibri"/>
      <w:b/>
      <w:szCs w:val="22"/>
      <w:lang w:eastAsia="en-US"/>
    </w:rPr>
  </w:style>
  <w:style w:type="paragraph" w:customStyle="1" w:styleId="SOWSubL1-ASDEFCON">
    <w:name w:val="SOW SubL1 - ASDEFCON"/>
    <w:basedOn w:val="ASDEFCONNormal"/>
    <w:qFormat/>
    <w:rsid w:val="00ED187E"/>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ED187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D187E"/>
    <w:pPr>
      <w:numPr>
        <w:ilvl w:val="0"/>
        <w:numId w:val="0"/>
      </w:numPr>
      <w:ind w:left="1134"/>
    </w:pPr>
    <w:rPr>
      <w:rFonts w:eastAsia="Times New Roman"/>
      <w:bCs/>
      <w:szCs w:val="20"/>
    </w:rPr>
  </w:style>
  <w:style w:type="paragraph" w:customStyle="1" w:styleId="SOWTL2-ASDEFCON">
    <w:name w:val="SOW TL2 - ASDEFCON"/>
    <w:basedOn w:val="SOWHL2-ASDEFCON"/>
    <w:rsid w:val="00ED187E"/>
    <w:pPr>
      <w:keepNext w:val="0"/>
      <w:pBdr>
        <w:bottom w:val="none" w:sz="0" w:space="0" w:color="auto"/>
      </w:pBdr>
    </w:pPr>
    <w:rPr>
      <w:b w:val="0"/>
    </w:rPr>
  </w:style>
  <w:style w:type="paragraph" w:customStyle="1" w:styleId="SOWTL3NONUM-ASDEFCON">
    <w:name w:val="SOW TL3 NONUM - ASDEFCON"/>
    <w:basedOn w:val="SOWTL3-ASDEFCON"/>
    <w:next w:val="SOWTL3-ASDEFCON"/>
    <w:rsid w:val="00ED187E"/>
    <w:pPr>
      <w:numPr>
        <w:ilvl w:val="0"/>
        <w:numId w:val="0"/>
      </w:numPr>
      <w:ind w:left="1134"/>
    </w:pPr>
    <w:rPr>
      <w:rFonts w:eastAsia="Times New Roman"/>
      <w:bCs/>
      <w:szCs w:val="20"/>
    </w:rPr>
  </w:style>
  <w:style w:type="paragraph" w:customStyle="1" w:styleId="SOWTL3-ASDEFCON">
    <w:name w:val="SOW TL3 - ASDEFCON"/>
    <w:basedOn w:val="SOWHL3-ASDEFCON"/>
    <w:rsid w:val="00ED187E"/>
    <w:pPr>
      <w:keepNext w:val="0"/>
    </w:pPr>
    <w:rPr>
      <w:b w:val="0"/>
    </w:rPr>
  </w:style>
  <w:style w:type="paragraph" w:customStyle="1" w:styleId="SOWTL4NONUM-ASDEFCON">
    <w:name w:val="SOW TL4 NONUM - ASDEFCON"/>
    <w:basedOn w:val="SOWTL4-ASDEFCON"/>
    <w:next w:val="SOWTL4-ASDEFCON"/>
    <w:rsid w:val="00ED187E"/>
    <w:pPr>
      <w:numPr>
        <w:ilvl w:val="0"/>
        <w:numId w:val="0"/>
      </w:numPr>
      <w:ind w:left="1134"/>
    </w:pPr>
    <w:rPr>
      <w:rFonts w:eastAsia="Times New Roman"/>
      <w:bCs/>
      <w:szCs w:val="20"/>
    </w:rPr>
  </w:style>
  <w:style w:type="paragraph" w:customStyle="1" w:styleId="SOWTL4-ASDEFCON">
    <w:name w:val="SOW TL4 - ASDEFCON"/>
    <w:basedOn w:val="SOWHL4-ASDEFCON"/>
    <w:rsid w:val="00ED187E"/>
    <w:pPr>
      <w:keepNext w:val="0"/>
    </w:pPr>
    <w:rPr>
      <w:b w:val="0"/>
    </w:rPr>
  </w:style>
  <w:style w:type="paragraph" w:customStyle="1" w:styleId="SOWTL5NONUM-ASDEFCON">
    <w:name w:val="SOW TL5 NONUM - ASDEFCON"/>
    <w:basedOn w:val="SOWHL5-ASDEFCON"/>
    <w:next w:val="SOWTL5-ASDEFCON"/>
    <w:rsid w:val="00ED187E"/>
    <w:pPr>
      <w:keepNext w:val="0"/>
      <w:numPr>
        <w:ilvl w:val="0"/>
        <w:numId w:val="0"/>
      </w:numPr>
      <w:ind w:left="1134"/>
    </w:pPr>
    <w:rPr>
      <w:b w:val="0"/>
    </w:rPr>
  </w:style>
  <w:style w:type="paragraph" w:customStyle="1" w:styleId="SOWTL5-ASDEFCON">
    <w:name w:val="SOW TL5 - ASDEFCON"/>
    <w:basedOn w:val="SOWHL5-ASDEFCON"/>
    <w:rsid w:val="00ED187E"/>
    <w:pPr>
      <w:keepNext w:val="0"/>
    </w:pPr>
    <w:rPr>
      <w:b w:val="0"/>
    </w:rPr>
  </w:style>
  <w:style w:type="paragraph" w:customStyle="1" w:styleId="SOWSubL2-ASDEFCON">
    <w:name w:val="SOW SubL2 - ASDEFCON"/>
    <w:basedOn w:val="ASDEFCONNormal"/>
    <w:qFormat/>
    <w:rsid w:val="00ED187E"/>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ED187E"/>
    <w:pPr>
      <w:numPr>
        <w:numId w:val="0"/>
      </w:numPr>
      <w:ind w:left="1701"/>
    </w:pPr>
  </w:style>
  <w:style w:type="paragraph" w:customStyle="1" w:styleId="SOWSubL2NONUM-ASDEFCON">
    <w:name w:val="SOW SubL2 NONUM - ASDEFCON"/>
    <w:basedOn w:val="SOWSubL2-ASDEFCON"/>
    <w:next w:val="SOWSubL2-ASDEFCON"/>
    <w:qFormat/>
    <w:rsid w:val="00ED187E"/>
    <w:pPr>
      <w:numPr>
        <w:ilvl w:val="0"/>
        <w:numId w:val="0"/>
      </w:numPr>
      <w:ind w:left="2268"/>
    </w:pPr>
  </w:style>
  <w:style w:type="paragraph" w:customStyle="1" w:styleId="ASDEFCONTextBlock">
    <w:name w:val="ASDEFCON TextBlock"/>
    <w:basedOn w:val="ASDEFCONNormal"/>
    <w:qFormat/>
    <w:rsid w:val="00ED187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D187E"/>
    <w:pPr>
      <w:numPr>
        <w:numId w:val="3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ED187E"/>
    <w:pPr>
      <w:keepNext/>
      <w:spacing w:before="240"/>
    </w:pPr>
    <w:rPr>
      <w:rFonts w:ascii="Arial Bold" w:hAnsi="Arial Bold"/>
      <w:b/>
      <w:bCs/>
      <w:caps/>
      <w:szCs w:val="20"/>
    </w:rPr>
  </w:style>
  <w:style w:type="paragraph" w:customStyle="1" w:styleId="Table8ptHeading-ASDEFCON">
    <w:name w:val="Table 8pt Heading - ASDEFCON"/>
    <w:basedOn w:val="ASDEFCONNormal"/>
    <w:rsid w:val="00ED187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D187E"/>
    <w:pPr>
      <w:numPr>
        <w:numId w:val="4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D187E"/>
    <w:pPr>
      <w:numPr>
        <w:numId w:val="4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D187E"/>
    <w:rPr>
      <w:rFonts w:ascii="Arial" w:eastAsia="Calibri" w:hAnsi="Arial"/>
      <w:color w:val="000000"/>
      <w:szCs w:val="22"/>
      <w:lang w:eastAsia="en-US"/>
    </w:rPr>
  </w:style>
  <w:style w:type="paragraph" w:customStyle="1" w:styleId="Table8ptSub1-ASDEFCON">
    <w:name w:val="Table 8pt Sub1 - ASDEFCON"/>
    <w:basedOn w:val="Table8ptText-ASDEFCON"/>
    <w:rsid w:val="00ED187E"/>
    <w:pPr>
      <w:numPr>
        <w:ilvl w:val="1"/>
      </w:numPr>
    </w:pPr>
  </w:style>
  <w:style w:type="paragraph" w:customStyle="1" w:styleId="Table8ptSub2-ASDEFCON">
    <w:name w:val="Table 8pt Sub2 - ASDEFCON"/>
    <w:basedOn w:val="Table8ptText-ASDEFCON"/>
    <w:rsid w:val="00ED187E"/>
    <w:pPr>
      <w:numPr>
        <w:ilvl w:val="2"/>
      </w:numPr>
    </w:pPr>
  </w:style>
  <w:style w:type="paragraph" w:customStyle="1" w:styleId="Table10ptHeading-ASDEFCON">
    <w:name w:val="Table 10pt Heading - ASDEFCON"/>
    <w:basedOn w:val="ASDEFCONNormal"/>
    <w:rsid w:val="00ED187E"/>
    <w:pPr>
      <w:keepNext/>
      <w:spacing w:before="60" w:after="60"/>
      <w:jc w:val="center"/>
    </w:pPr>
    <w:rPr>
      <w:b/>
    </w:rPr>
  </w:style>
  <w:style w:type="paragraph" w:customStyle="1" w:styleId="Table8ptBP1-ASDEFCON">
    <w:name w:val="Table 8pt BP1 - ASDEFCON"/>
    <w:basedOn w:val="Table8ptText-ASDEFCON"/>
    <w:rsid w:val="00ED187E"/>
    <w:pPr>
      <w:numPr>
        <w:numId w:val="32"/>
      </w:numPr>
      <w:tabs>
        <w:tab w:val="clear" w:pos="284"/>
      </w:tabs>
    </w:pPr>
  </w:style>
  <w:style w:type="paragraph" w:customStyle="1" w:styleId="Table8ptBP2-ASDEFCON">
    <w:name w:val="Table 8pt BP2 - ASDEFCON"/>
    <w:basedOn w:val="Table8ptText-ASDEFCON"/>
    <w:rsid w:val="00ED187E"/>
    <w:pPr>
      <w:numPr>
        <w:ilvl w:val="1"/>
        <w:numId w:val="32"/>
      </w:numPr>
      <w:tabs>
        <w:tab w:val="clear" w:pos="284"/>
      </w:tabs>
    </w:pPr>
    <w:rPr>
      <w:iCs/>
    </w:rPr>
  </w:style>
  <w:style w:type="paragraph" w:customStyle="1" w:styleId="ASDEFCONBulletsLV1">
    <w:name w:val="ASDEFCON Bullets LV1"/>
    <w:basedOn w:val="ASDEFCONNormal"/>
    <w:rsid w:val="00ED187E"/>
    <w:pPr>
      <w:numPr>
        <w:numId w:val="34"/>
      </w:numPr>
    </w:pPr>
    <w:rPr>
      <w:rFonts w:eastAsia="Calibri"/>
      <w:szCs w:val="22"/>
      <w:lang w:eastAsia="en-US"/>
    </w:rPr>
  </w:style>
  <w:style w:type="paragraph" w:customStyle="1" w:styleId="Table10ptSub1-ASDEFCON">
    <w:name w:val="Table 10pt Sub1 - ASDEFCON"/>
    <w:basedOn w:val="Table10ptText-ASDEFCON"/>
    <w:rsid w:val="00ED187E"/>
    <w:pPr>
      <w:numPr>
        <w:ilvl w:val="1"/>
      </w:numPr>
      <w:jc w:val="both"/>
    </w:pPr>
  </w:style>
  <w:style w:type="paragraph" w:customStyle="1" w:styleId="Table10ptSub2-ASDEFCON">
    <w:name w:val="Table 10pt Sub2 - ASDEFCON"/>
    <w:basedOn w:val="Table10ptText-ASDEFCON"/>
    <w:rsid w:val="00ED187E"/>
    <w:pPr>
      <w:numPr>
        <w:ilvl w:val="2"/>
      </w:numPr>
      <w:jc w:val="both"/>
    </w:pPr>
  </w:style>
  <w:style w:type="paragraph" w:customStyle="1" w:styleId="ASDEFCONBulletsLV2">
    <w:name w:val="ASDEFCON Bullets LV2"/>
    <w:basedOn w:val="ASDEFCONNormal"/>
    <w:rsid w:val="00ED187E"/>
    <w:pPr>
      <w:numPr>
        <w:numId w:val="9"/>
      </w:numPr>
    </w:pPr>
  </w:style>
  <w:style w:type="paragraph" w:customStyle="1" w:styleId="Table10ptBP1-ASDEFCON">
    <w:name w:val="Table 10pt BP1 - ASDEFCON"/>
    <w:basedOn w:val="ASDEFCONNormal"/>
    <w:rsid w:val="00ED187E"/>
    <w:pPr>
      <w:numPr>
        <w:numId w:val="38"/>
      </w:numPr>
      <w:spacing w:before="60" w:after="60"/>
    </w:pPr>
  </w:style>
  <w:style w:type="paragraph" w:customStyle="1" w:styleId="Table10ptBP2-ASDEFCON">
    <w:name w:val="Table 10pt BP2 - ASDEFCON"/>
    <w:basedOn w:val="ASDEFCONNormal"/>
    <w:link w:val="Table10ptBP2-ASDEFCONCharChar"/>
    <w:rsid w:val="00ED187E"/>
    <w:pPr>
      <w:numPr>
        <w:ilvl w:val="1"/>
        <w:numId w:val="38"/>
      </w:numPr>
      <w:spacing w:before="60" w:after="60"/>
    </w:pPr>
  </w:style>
  <w:style w:type="character" w:customStyle="1" w:styleId="Table10ptBP2-ASDEFCONCharChar">
    <w:name w:val="Table 10pt BP2 - ASDEFCON Char Char"/>
    <w:link w:val="Table10ptBP2-ASDEFCON"/>
    <w:rsid w:val="00ED187E"/>
    <w:rPr>
      <w:rFonts w:ascii="Arial" w:hAnsi="Arial"/>
      <w:color w:val="000000"/>
      <w:szCs w:val="40"/>
    </w:rPr>
  </w:style>
  <w:style w:type="paragraph" w:customStyle="1" w:styleId="GuideMarginHead-ASDEFCON">
    <w:name w:val="Guide Margin Head - ASDEFCON"/>
    <w:basedOn w:val="ASDEFCONNormal"/>
    <w:rsid w:val="00ED187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D187E"/>
    <w:pPr>
      <w:ind w:left="1680"/>
    </w:pPr>
    <w:rPr>
      <w:lang w:eastAsia="en-US"/>
    </w:rPr>
  </w:style>
  <w:style w:type="paragraph" w:customStyle="1" w:styleId="GuideSublistLv1-ASDEFCON">
    <w:name w:val="Guide Sublist Lv1 - ASDEFCON"/>
    <w:basedOn w:val="ASDEFCONNormal"/>
    <w:qFormat/>
    <w:rsid w:val="00ED187E"/>
    <w:pPr>
      <w:numPr>
        <w:numId w:val="42"/>
      </w:numPr>
    </w:pPr>
    <w:rPr>
      <w:rFonts w:eastAsia="Calibri"/>
      <w:szCs w:val="22"/>
      <w:lang w:eastAsia="en-US"/>
    </w:rPr>
  </w:style>
  <w:style w:type="paragraph" w:customStyle="1" w:styleId="GuideBullets-ASDEFCON">
    <w:name w:val="Guide Bullets - ASDEFCON"/>
    <w:basedOn w:val="ASDEFCONNormal"/>
    <w:rsid w:val="00ED187E"/>
    <w:pPr>
      <w:numPr>
        <w:ilvl w:val="6"/>
        <w:numId w:val="3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ED187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D187E"/>
    <w:pPr>
      <w:keepNext/>
      <w:spacing w:before="240"/>
    </w:pPr>
    <w:rPr>
      <w:rFonts w:eastAsia="Calibri"/>
      <w:b/>
      <w:caps/>
      <w:szCs w:val="20"/>
      <w:lang w:eastAsia="en-US"/>
    </w:rPr>
  </w:style>
  <w:style w:type="paragraph" w:customStyle="1" w:styleId="ASDEFCONSublist">
    <w:name w:val="ASDEFCON Sublist"/>
    <w:basedOn w:val="ASDEFCONNormal"/>
    <w:rsid w:val="00ED187E"/>
    <w:pPr>
      <w:numPr>
        <w:numId w:val="43"/>
      </w:numPr>
    </w:pPr>
    <w:rPr>
      <w:iCs/>
    </w:rPr>
  </w:style>
  <w:style w:type="paragraph" w:customStyle="1" w:styleId="ASDEFCONRecitals">
    <w:name w:val="ASDEFCON Recitals"/>
    <w:basedOn w:val="ASDEFCONNormal"/>
    <w:link w:val="ASDEFCONRecitalsCharChar"/>
    <w:rsid w:val="00ED187E"/>
    <w:pPr>
      <w:numPr>
        <w:numId w:val="35"/>
      </w:numPr>
    </w:pPr>
  </w:style>
  <w:style w:type="character" w:customStyle="1" w:styleId="ASDEFCONRecitalsCharChar">
    <w:name w:val="ASDEFCON Recitals Char Char"/>
    <w:link w:val="ASDEFCONRecitals"/>
    <w:rsid w:val="00ED187E"/>
    <w:rPr>
      <w:rFonts w:ascii="Arial" w:hAnsi="Arial"/>
      <w:color w:val="000000"/>
      <w:szCs w:val="40"/>
    </w:rPr>
  </w:style>
  <w:style w:type="paragraph" w:customStyle="1" w:styleId="NoteList-ASDEFCON">
    <w:name w:val="Note List - ASDEFCON"/>
    <w:basedOn w:val="ASDEFCONNormal"/>
    <w:rsid w:val="00ED187E"/>
    <w:pPr>
      <w:numPr>
        <w:numId w:val="36"/>
      </w:numPr>
    </w:pPr>
    <w:rPr>
      <w:b/>
      <w:bCs/>
      <w:i/>
    </w:rPr>
  </w:style>
  <w:style w:type="paragraph" w:customStyle="1" w:styleId="NoteBullets-ASDEFCON">
    <w:name w:val="Note Bullets - ASDEFCON"/>
    <w:basedOn w:val="ASDEFCONNormal"/>
    <w:rsid w:val="00ED187E"/>
    <w:pPr>
      <w:numPr>
        <w:numId w:val="37"/>
      </w:numPr>
    </w:pPr>
    <w:rPr>
      <w:b/>
      <w:i/>
    </w:rPr>
  </w:style>
  <w:style w:type="paragraph" w:styleId="Caption">
    <w:name w:val="caption"/>
    <w:basedOn w:val="Normal"/>
    <w:next w:val="Normal"/>
    <w:qFormat/>
    <w:rsid w:val="00ED187E"/>
    <w:rPr>
      <w:b/>
      <w:bCs/>
      <w:szCs w:val="20"/>
    </w:rPr>
  </w:style>
  <w:style w:type="paragraph" w:customStyle="1" w:styleId="ASDEFCONOperativePartListLV1">
    <w:name w:val="ASDEFCON Operative Part List LV1"/>
    <w:basedOn w:val="ASDEFCONNormal"/>
    <w:rsid w:val="00ED187E"/>
    <w:pPr>
      <w:numPr>
        <w:numId w:val="39"/>
      </w:numPr>
    </w:pPr>
    <w:rPr>
      <w:iCs/>
    </w:rPr>
  </w:style>
  <w:style w:type="paragraph" w:customStyle="1" w:styleId="ASDEFCONOperativePartListLV2">
    <w:name w:val="ASDEFCON Operative Part List LV2"/>
    <w:basedOn w:val="ASDEFCONOperativePartListLV1"/>
    <w:rsid w:val="00ED187E"/>
    <w:pPr>
      <w:numPr>
        <w:ilvl w:val="1"/>
      </w:numPr>
    </w:pPr>
  </w:style>
  <w:style w:type="paragraph" w:customStyle="1" w:styleId="ASDEFCONOptionSpace">
    <w:name w:val="ASDEFCON Option Space"/>
    <w:basedOn w:val="ASDEFCONNormal"/>
    <w:rsid w:val="00ED187E"/>
    <w:pPr>
      <w:spacing w:after="0"/>
    </w:pPr>
    <w:rPr>
      <w:bCs/>
      <w:color w:val="FFFFFF"/>
      <w:sz w:val="8"/>
    </w:rPr>
  </w:style>
  <w:style w:type="paragraph" w:customStyle="1" w:styleId="ATTANNReferencetoCOC">
    <w:name w:val="ATT/ANN Reference to COC"/>
    <w:basedOn w:val="ASDEFCONNormal"/>
    <w:rsid w:val="00ED187E"/>
    <w:pPr>
      <w:keepNext/>
      <w:jc w:val="right"/>
    </w:pPr>
    <w:rPr>
      <w:i/>
      <w:iCs/>
      <w:szCs w:val="20"/>
    </w:rPr>
  </w:style>
  <w:style w:type="paragraph" w:customStyle="1" w:styleId="ASDEFCONHeaderFooterCenter">
    <w:name w:val="ASDEFCON Header/Footer Center"/>
    <w:basedOn w:val="ASDEFCONHeaderFooterLeft"/>
    <w:rsid w:val="00ED187E"/>
    <w:pPr>
      <w:jc w:val="center"/>
    </w:pPr>
    <w:rPr>
      <w:szCs w:val="20"/>
    </w:rPr>
  </w:style>
  <w:style w:type="paragraph" w:customStyle="1" w:styleId="ASDEFCONHeaderFooterRight">
    <w:name w:val="ASDEFCON Header/Footer Right"/>
    <w:basedOn w:val="ASDEFCONHeaderFooterLeft"/>
    <w:rsid w:val="00ED187E"/>
    <w:pPr>
      <w:jc w:val="right"/>
    </w:pPr>
    <w:rPr>
      <w:szCs w:val="20"/>
    </w:rPr>
  </w:style>
  <w:style w:type="paragraph" w:customStyle="1" w:styleId="ASDEFCONHeaderFooterClassification">
    <w:name w:val="ASDEFCON Header/Footer Classification"/>
    <w:basedOn w:val="ASDEFCONHeaderFooterLeft"/>
    <w:rsid w:val="00ED187E"/>
    <w:pPr>
      <w:jc w:val="center"/>
    </w:pPr>
    <w:rPr>
      <w:rFonts w:ascii="Arial Bold" w:hAnsi="Arial Bold"/>
      <w:b/>
      <w:bCs/>
      <w:caps/>
      <w:sz w:val="20"/>
    </w:rPr>
  </w:style>
  <w:style w:type="paragraph" w:customStyle="1" w:styleId="GuideLV3Head-ASDEFCON">
    <w:name w:val="Guide LV3 Head - ASDEFCON"/>
    <w:basedOn w:val="ASDEFCONNormal"/>
    <w:rsid w:val="00ED187E"/>
    <w:pPr>
      <w:keepNext/>
    </w:pPr>
    <w:rPr>
      <w:rFonts w:eastAsia="Calibri"/>
      <w:b/>
      <w:szCs w:val="22"/>
      <w:lang w:eastAsia="en-US"/>
    </w:rPr>
  </w:style>
  <w:style w:type="paragraph" w:customStyle="1" w:styleId="GuideSublistLv2-ASDEFCON">
    <w:name w:val="Guide Sublist Lv2 - ASDEFCON"/>
    <w:basedOn w:val="ASDEFCONNormal"/>
    <w:rsid w:val="00ED187E"/>
    <w:pPr>
      <w:numPr>
        <w:ilvl w:val="1"/>
        <w:numId w:val="42"/>
      </w:numPr>
    </w:pPr>
  </w:style>
  <w:style w:type="paragraph" w:styleId="Revision">
    <w:name w:val="Revision"/>
    <w:hidden/>
    <w:uiPriority w:val="99"/>
    <w:semiHidden/>
    <w:rsid w:val="005F5357"/>
    <w:rPr>
      <w:rFonts w:ascii="Arial" w:hAnsi="Arial"/>
      <w:szCs w:val="24"/>
    </w:rPr>
  </w:style>
  <w:style w:type="paragraph" w:styleId="TOCHeading">
    <w:name w:val="TOC Heading"/>
    <w:basedOn w:val="Heading1"/>
    <w:next w:val="Normal"/>
    <w:uiPriority w:val="39"/>
    <w:semiHidden/>
    <w:unhideWhenUsed/>
    <w:qFormat/>
    <w:rsid w:val="004808D0"/>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ED187E"/>
    <w:pPr>
      <w:numPr>
        <w:numId w:val="6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 2015</Template>
  <TotalTime>10</TotalTime>
  <Pages>4</Pages>
  <Words>1272</Words>
  <Characters>7098</Characters>
  <Application>Microsoft Office Word</Application>
  <DocSecurity>0</DocSecurity>
  <Lines>139</Lines>
  <Paragraphs>94</Paragraphs>
  <ScaleCrop>false</ScaleCrop>
  <HeadingPairs>
    <vt:vector size="2" baseType="variant">
      <vt:variant>
        <vt:lpstr>Title</vt:lpstr>
      </vt:variant>
      <vt:variant>
        <vt:i4>1</vt:i4>
      </vt:variant>
    </vt:vector>
  </HeadingPairs>
  <TitlesOfParts>
    <vt:vector size="1" baseType="lpstr">
      <vt:lpstr>DID-SSM-SMP</vt:lpstr>
    </vt:vector>
  </TitlesOfParts>
  <Manager>ASDEFCON SOW Policy, CASG</Manager>
  <Company>Defence</Company>
  <LinksUpToDate>false</LinksUpToDate>
  <CharactersWithSpaces>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DID-SSM-SMP</dc:title>
  <dc:subject>Surge Management Plan</dc:subject>
  <dc:creator/>
  <cp:keywords>SMP, Surge Management Plan, ASDEFCON (Support), Surge</cp:keywords>
  <cp:lastModifiedBy>Christian Uhrenfeldt</cp:lastModifiedBy>
  <cp:revision>18</cp:revision>
  <cp:lastPrinted>2011-05-18T20:37:00Z</cp:lastPrinted>
  <dcterms:created xsi:type="dcterms:W3CDTF">2018-01-17T00:36:00Z</dcterms:created>
  <dcterms:modified xsi:type="dcterms:W3CDTF">2021-09-23T02:00:00Z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BM24177698</vt:lpwstr>
  </property>
  <property fmtid="{D5CDD505-2E9C-101B-9397-08002B2CF9AE}" pid="4" name="Objective-Title">
    <vt:lpwstr>DID-SSM-SMP-V5.0</vt:lpwstr>
  </property>
  <property fmtid="{D5CDD505-2E9C-101B-9397-08002B2CF9AE}" pid="5" name="Objective-Comment">
    <vt:lpwstr/>
  </property>
  <property fmtid="{D5CDD505-2E9C-101B-9397-08002B2CF9AE}" pid="6" name="Objective-CreationStamp">
    <vt:filetime>2021-02-03T04:24:37Z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2021-09-23T01:58:52Z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DID-SSM-SMP</vt:lpwstr>
  </property>
  <property fmtid="{D5CDD505-2E9C-101B-9397-08002B2CF9AE}" pid="25" name="Footer_Left">
    <vt:lpwstr/>
  </property>
</Properties>
</file>