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09548" w14:textId="77777777" w:rsidR="004F665D" w:rsidRPr="00A641F2" w:rsidRDefault="004F665D" w:rsidP="00023969">
      <w:pPr>
        <w:pStyle w:val="ASDEFCONTitle"/>
      </w:pPr>
      <w:bookmarkStart w:id="0" w:name="_GoBack"/>
      <w:bookmarkEnd w:id="0"/>
    </w:p>
    <w:p w14:paraId="0E5BBDCE" w14:textId="77777777" w:rsidR="004F665D" w:rsidRPr="00A641F2" w:rsidRDefault="004F665D" w:rsidP="00023969">
      <w:pPr>
        <w:pStyle w:val="ASDEFCONTitle"/>
      </w:pPr>
    </w:p>
    <w:p w14:paraId="708D48B9" w14:textId="77777777" w:rsidR="004F665D" w:rsidRPr="00A641F2" w:rsidRDefault="004F665D" w:rsidP="00023969">
      <w:pPr>
        <w:pStyle w:val="ASDEFCONTitle"/>
      </w:pPr>
    </w:p>
    <w:p w14:paraId="772BC695" w14:textId="77777777" w:rsidR="004F665D" w:rsidRPr="00A641F2" w:rsidRDefault="004F665D" w:rsidP="00023969">
      <w:pPr>
        <w:pStyle w:val="ASDEFCONTitle"/>
      </w:pPr>
    </w:p>
    <w:p w14:paraId="656E3930" w14:textId="77777777" w:rsidR="004F665D" w:rsidRPr="00A641F2" w:rsidRDefault="004F665D" w:rsidP="00023969">
      <w:pPr>
        <w:pStyle w:val="ASDEFCONNormal"/>
      </w:pPr>
    </w:p>
    <w:p w14:paraId="5094D867" w14:textId="77777777" w:rsidR="004F665D" w:rsidRPr="00A641F2" w:rsidRDefault="004F665D" w:rsidP="00023969">
      <w:pPr>
        <w:pStyle w:val="ASDEFCONNormal"/>
      </w:pPr>
    </w:p>
    <w:p w14:paraId="793ECBD2" w14:textId="77777777" w:rsidR="004F665D" w:rsidRPr="00A641F2" w:rsidRDefault="004F665D" w:rsidP="004F665D"/>
    <w:p w14:paraId="791E2069" w14:textId="77777777" w:rsidR="004F665D" w:rsidRPr="0059067E" w:rsidRDefault="002D2130" w:rsidP="00023969">
      <w:pPr>
        <w:pStyle w:val="ASDEFCONTitle"/>
      </w:pPr>
      <w:r w:rsidRPr="0059067E">
        <w:t>ASDEFCON (SUPPORT)</w:t>
      </w:r>
      <w:r w:rsidRPr="0059067E">
        <w:br/>
      </w:r>
      <w:r w:rsidR="004F665D" w:rsidRPr="0059067E">
        <w:t>CONTRACTOR STANDING CAPABILITY</w:t>
      </w:r>
      <w:r w:rsidRPr="0059067E">
        <w:t xml:space="preserve"> MODULE</w:t>
      </w:r>
      <w:r w:rsidRPr="0059067E">
        <w:br/>
      </w:r>
      <w:r w:rsidR="00B70B0C" w:rsidRPr="0059067E">
        <w:t>HANDBOOK</w:t>
      </w:r>
    </w:p>
    <w:p w14:paraId="13CE565B" w14:textId="77777777" w:rsidR="004F665D" w:rsidRPr="00A641F2" w:rsidRDefault="004F665D" w:rsidP="00023969">
      <w:pPr>
        <w:pStyle w:val="ASDEFCONNormal"/>
      </w:pPr>
    </w:p>
    <w:p w14:paraId="6DD39E6C" w14:textId="77777777" w:rsidR="004F665D" w:rsidRPr="00A641F2" w:rsidRDefault="004F665D" w:rsidP="00023969">
      <w:pPr>
        <w:pStyle w:val="ASDEFCONNormal"/>
      </w:pPr>
    </w:p>
    <w:p w14:paraId="6A718C5E" w14:textId="77777777" w:rsidR="00DC25EA" w:rsidRPr="00A641F2" w:rsidRDefault="004F665D" w:rsidP="00023969">
      <w:pPr>
        <w:pStyle w:val="ASDEFCONTitle"/>
      </w:pPr>
      <w:r w:rsidRPr="00A641F2">
        <w:t>CUSTOMISING ASDEFCON (SUPPORT)</w:t>
      </w:r>
      <w:r w:rsidRPr="00A641F2">
        <w:br/>
        <w:t xml:space="preserve">TO INCLUDE A CONTRACTOR STANDING CAPABILITY </w:t>
      </w:r>
      <w:r w:rsidRPr="00A641F2">
        <w:br w:type="page"/>
      </w:r>
      <w:r w:rsidR="00DC25EA" w:rsidRPr="00A641F2">
        <w:lastRenderedPageBreak/>
        <w:t>Table of Contents</w:t>
      </w:r>
    </w:p>
    <w:p w14:paraId="2122EB29" w14:textId="77777777" w:rsidR="00DC25EA" w:rsidRPr="00A641F2" w:rsidRDefault="00DC25EA" w:rsidP="00023969">
      <w:pPr>
        <w:pStyle w:val="ASDEFCONNormal"/>
      </w:pPr>
    </w:p>
    <w:p w14:paraId="2EFCAEB2" w14:textId="6EC66261" w:rsidR="00E633A6" w:rsidRDefault="00E633A6">
      <w:pPr>
        <w:pStyle w:val="TOC1"/>
        <w:rPr>
          <w:rFonts w:asciiTheme="minorHAnsi" w:eastAsiaTheme="minorEastAsia" w:hAnsiTheme="minorHAnsi" w:cstheme="minorBidi"/>
          <w:b w:val="0"/>
          <w:sz w:val="22"/>
          <w:szCs w:val="22"/>
        </w:rPr>
      </w:pPr>
      <w:r>
        <w:fldChar w:fldCharType="begin"/>
      </w:r>
      <w:r>
        <w:instrText xml:space="preserve"> TOC \o "1-2" \t "COT/COC LV2 - ASDEFCON,2,COT/COC LV1 - ASDEFCON,1,ATT/ANN LV1 - ASDEFCON,1,ATT/ANN LV2 - ASDEFCON,2,SOW HL1 - ASDEFCON,1,SOW HL2 - ASDEFCON,2,Guide LV2 Head - ASDEFCON,2,Guide LV1 Head - ASDEFCON,1" </w:instrText>
      </w:r>
      <w:r>
        <w:fldChar w:fldCharType="separate"/>
      </w:r>
      <w:r>
        <w:t>INTRODUCTION</w:t>
      </w:r>
      <w:r>
        <w:tab/>
      </w:r>
      <w:r>
        <w:fldChar w:fldCharType="begin"/>
      </w:r>
      <w:r>
        <w:instrText xml:space="preserve"> PAGEREF _Toc84506563 \h </w:instrText>
      </w:r>
      <w:r>
        <w:fldChar w:fldCharType="separate"/>
      </w:r>
      <w:r>
        <w:t>3</w:t>
      </w:r>
      <w:r>
        <w:fldChar w:fldCharType="end"/>
      </w:r>
    </w:p>
    <w:p w14:paraId="2EC6C02D" w14:textId="01C2F577" w:rsidR="00E633A6" w:rsidRDefault="00E633A6">
      <w:pPr>
        <w:pStyle w:val="TOC2"/>
        <w:tabs>
          <w:tab w:val="right" w:leader="dot" w:pos="9062"/>
        </w:tabs>
        <w:rPr>
          <w:rFonts w:asciiTheme="minorHAnsi" w:eastAsiaTheme="minorEastAsia" w:hAnsiTheme="minorHAnsi" w:cstheme="minorBidi"/>
          <w:noProof/>
          <w:sz w:val="22"/>
          <w:szCs w:val="22"/>
        </w:rPr>
      </w:pPr>
      <w:r>
        <w:rPr>
          <w:noProof/>
        </w:rPr>
        <w:t>Background</w:t>
      </w:r>
      <w:r>
        <w:rPr>
          <w:noProof/>
        </w:rPr>
        <w:tab/>
      </w:r>
      <w:r>
        <w:rPr>
          <w:noProof/>
        </w:rPr>
        <w:fldChar w:fldCharType="begin"/>
      </w:r>
      <w:r>
        <w:rPr>
          <w:noProof/>
        </w:rPr>
        <w:instrText xml:space="preserve"> PAGEREF _Toc84506564 \h </w:instrText>
      </w:r>
      <w:r>
        <w:rPr>
          <w:noProof/>
        </w:rPr>
      </w:r>
      <w:r>
        <w:rPr>
          <w:noProof/>
        </w:rPr>
        <w:fldChar w:fldCharType="separate"/>
      </w:r>
      <w:r>
        <w:rPr>
          <w:noProof/>
        </w:rPr>
        <w:t>3</w:t>
      </w:r>
      <w:r>
        <w:rPr>
          <w:noProof/>
        </w:rPr>
        <w:fldChar w:fldCharType="end"/>
      </w:r>
    </w:p>
    <w:p w14:paraId="19C74C33" w14:textId="268894E5" w:rsidR="00E633A6" w:rsidRDefault="00E633A6">
      <w:pPr>
        <w:pStyle w:val="TOC2"/>
        <w:tabs>
          <w:tab w:val="right" w:leader="dot" w:pos="9062"/>
        </w:tabs>
        <w:rPr>
          <w:rFonts w:asciiTheme="minorHAnsi" w:eastAsiaTheme="minorEastAsia" w:hAnsiTheme="minorHAnsi" w:cstheme="minorBidi"/>
          <w:noProof/>
          <w:sz w:val="22"/>
          <w:szCs w:val="22"/>
        </w:rPr>
      </w:pPr>
      <w:r>
        <w:rPr>
          <w:noProof/>
        </w:rPr>
        <w:t>The CSC Module</w:t>
      </w:r>
      <w:r>
        <w:rPr>
          <w:noProof/>
        </w:rPr>
        <w:tab/>
      </w:r>
      <w:r>
        <w:rPr>
          <w:noProof/>
        </w:rPr>
        <w:fldChar w:fldCharType="begin"/>
      </w:r>
      <w:r>
        <w:rPr>
          <w:noProof/>
        </w:rPr>
        <w:instrText xml:space="preserve"> PAGEREF _Toc84506565 \h </w:instrText>
      </w:r>
      <w:r>
        <w:rPr>
          <w:noProof/>
        </w:rPr>
      </w:r>
      <w:r>
        <w:rPr>
          <w:noProof/>
        </w:rPr>
        <w:fldChar w:fldCharType="separate"/>
      </w:r>
      <w:r>
        <w:rPr>
          <w:noProof/>
        </w:rPr>
        <w:t>3</w:t>
      </w:r>
      <w:r>
        <w:rPr>
          <w:noProof/>
        </w:rPr>
        <w:fldChar w:fldCharType="end"/>
      </w:r>
    </w:p>
    <w:p w14:paraId="0DC30FCE" w14:textId="3686B4DC" w:rsidR="00E633A6" w:rsidRDefault="00E633A6">
      <w:pPr>
        <w:pStyle w:val="TOC2"/>
        <w:tabs>
          <w:tab w:val="right" w:leader="dot" w:pos="9062"/>
        </w:tabs>
        <w:rPr>
          <w:rFonts w:asciiTheme="minorHAnsi" w:eastAsiaTheme="minorEastAsia" w:hAnsiTheme="minorHAnsi" w:cstheme="minorBidi"/>
          <w:noProof/>
          <w:sz w:val="22"/>
          <w:szCs w:val="22"/>
        </w:rPr>
      </w:pPr>
      <w:r>
        <w:rPr>
          <w:noProof/>
        </w:rPr>
        <w:t>How to use this Handbook</w:t>
      </w:r>
      <w:r>
        <w:rPr>
          <w:noProof/>
        </w:rPr>
        <w:tab/>
      </w:r>
      <w:r>
        <w:rPr>
          <w:noProof/>
        </w:rPr>
        <w:fldChar w:fldCharType="begin"/>
      </w:r>
      <w:r>
        <w:rPr>
          <w:noProof/>
        </w:rPr>
        <w:instrText xml:space="preserve"> PAGEREF _Toc84506566 \h </w:instrText>
      </w:r>
      <w:r>
        <w:rPr>
          <w:noProof/>
        </w:rPr>
      </w:r>
      <w:r>
        <w:rPr>
          <w:noProof/>
        </w:rPr>
        <w:fldChar w:fldCharType="separate"/>
      </w:r>
      <w:r>
        <w:rPr>
          <w:noProof/>
        </w:rPr>
        <w:t>3</w:t>
      </w:r>
      <w:r>
        <w:rPr>
          <w:noProof/>
        </w:rPr>
        <w:fldChar w:fldCharType="end"/>
      </w:r>
    </w:p>
    <w:p w14:paraId="0F420C0F" w14:textId="6385046B" w:rsidR="00E633A6" w:rsidRDefault="00E633A6">
      <w:pPr>
        <w:pStyle w:val="TOC2"/>
        <w:tabs>
          <w:tab w:val="right" w:leader="dot" w:pos="9062"/>
        </w:tabs>
        <w:rPr>
          <w:rFonts w:asciiTheme="minorHAnsi" w:eastAsiaTheme="minorEastAsia" w:hAnsiTheme="minorHAnsi" w:cstheme="minorBidi"/>
          <w:noProof/>
          <w:sz w:val="22"/>
          <w:szCs w:val="22"/>
        </w:rPr>
      </w:pPr>
      <w:r>
        <w:rPr>
          <w:noProof/>
        </w:rPr>
        <w:t>Template Versions and Help</w:t>
      </w:r>
      <w:r>
        <w:rPr>
          <w:noProof/>
        </w:rPr>
        <w:tab/>
      </w:r>
      <w:r>
        <w:rPr>
          <w:noProof/>
        </w:rPr>
        <w:fldChar w:fldCharType="begin"/>
      </w:r>
      <w:r>
        <w:rPr>
          <w:noProof/>
        </w:rPr>
        <w:instrText xml:space="preserve"> PAGEREF _Toc84506567 \h </w:instrText>
      </w:r>
      <w:r>
        <w:rPr>
          <w:noProof/>
        </w:rPr>
      </w:r>
      <w:r>
        <w:rPr>
          <w:noProof/>
        </w:rPr>
        <w:fldChar w:fldCharType="separate"/>
      </w:r>
      <w:r>
        <w:rPr>
          <w:noProof/>
        </w:rPr>
        <w:t>4</w:t>
      </w:r>
      <w:r>
        <w:rPr>
          <w:noProof/>
        </w:rPr>
        <w:fldChar w:fldCharType="end"/>
      </w:r>
    </w:p>
    <w:p w14:paraId="73D55418" w14:textId="1D4C56EF" w:rsidR="00E633A6" w:rsidRDefault="00E633A6">
      <w:pPr>
        <w:pStyle w:val="TOC2"/>
        <w:tabs>
          <w:tab w:val="right" w:leader="dot" w:pos="9062"/>
        </w:tabs>
        <w:rPr>
          <w:rFonts w:asciiTheme="minorHAnsi" w:eastAsiaTheme="minorEastAsia" w:hAnsiTheme="minorHAnsi" w:cstheme="minorBidi"/>
          <w:noProof/>
          <w:sz w:val="22"/>
          <w:szCs w:val="22"/>
        </w:rPr>
      </w:pPr>
      <w:r>
        <w:rPr>
          <w:noProof/>
        </w:rPr>
        <w:t>Referenced Documents</w:t>
      </w:r>
      <w:r>
        <w:rPr>
          <w:noProof/>
        </w:rPr>
        <w:tab/>
      </w:r>
      <w:r>
        <w:rPr>
          <w:noProof/>
        </w:rPr>
        <w:fldChar w:fldCharType="begin"/>
      </w:r>
      <w:r>
        <w:rPr>
          <w:noProof/>
        </w:rPr>
        <w:instrText xml:space="preserve"> PAGEREF _Toc84506568 \h </w:instrText>
      </w:r>
      <w:r>
        <w:rPr>
          <w:noProof/>
        </w:rPr>
      </w:r>
      <w:r>
        <w:rPr>
          <w:noProof/>
        </w:rPr>
        <w:fldChar w:fldCharType="separate"/>
      </w:r>
      <w:r>
        <w:rPr>
          <w:noProof/>
        </w:rPr>
        <w:t>4</w:t>
      </w:r>
      <w:r>
        <w:rPr>
          <w:noProof/>
        </w:rPr>
        <w:fldChar w:fldCharType="end"/>
      </w:r>
    </w:p>
    <w:p w14:paraId="5A0802D8" w14:textId="7B80E935" w:rsidR="00E633A6" w:rsidRDefault="00E633A6">
      <w:pPr>
        <w:pStyle w:val="TOC2"/>
        <w:tabs>
          <w:tab w:val="right" w:leader="dot" w:pos="9062"/>
        </w:tabs>
        <w:rPr>
          <w:rFonts w:asciiTheme="minorHAnsi" w:eastAsiaTheme="minorEastAsia" w:hAnsiTheme="minorHAnsi" w:cstheme="minorBidi"/>
          <w:noProof/>
          <w:sz w:val="22"/>
          <w:szCs w:val="22"/>
        </w:rPr>
      </w:pPr>
      <w:r>
        <w:rPr>
          <w:noProof/>
        </w:rPr>
        <w:t>Definitions, Acronyms and Abbreviations</w:t>
      </w:r>
      <w:r>
        <w:rPr>
          <w:noProof/>
        </w:rPr>
        <w:tab/>
      </w:r>
      <w:r>
        <w:rPr>
          <w:noProof/>
        </w:rPr>
        <w:fldChar w:fldCharType="begin"/>
      </w:r>
      <w:r>
        <w:rPr>
          <w:noProof/>
        </w:rPr>
        <w:instrText xml:space="preserve"> PAGEREF _Toc84506569 \h </w:instrText>
      </w:r>
      <w:r>
        <w:rPr>
          <w:noProof/>
        </w:rPr>
      </w:r>
      <w:r>
        <w:rPr>
          <w:noProof/>
        </w:rPr>
        <w:fldChar w:fldCharType="separate"/>
      </w:r>
      <w:r>
        <w:rPr>
          <w:noProof/>
        </w:rPr>
        <w:t>4</w:t>
      </w:r>
      <w:r>
        <w:rPr>
          <w:noProof/>
        </w:rPr>
        <w:fldChar w:fldCharType="end"/>
      </w:r>
    </w:p>
    <w:p w14:paraId="0062087E" w14:textId="554F57B3" w:rsidR="00E633A6" w:rsidRDefault="00E633A6">
      <w:pPr>
        <w:pStyle w:val="TOC1"/>
        <w:rPr>
          <w:rFonts w:asciiTheme="minorHAnsi" w:eastAsiaTheme="minorEastAsia" w:hAnsiTheme="minorHAnsi" w:cstheme="minorBidi"/>
          <w:b w:val="0"/>
          <w:sz w:val="22"/>
          <w:szCs w:val="22"/>
        </w:rPr>
      </w:pPr>
      <w:r>
        <w:t>GENERAL GUIDANCE FOR THE CSC PROVISIONS</w:t>
      </w:r>
      <w:r>
        <w:tab/>
      </w:r>
      <w:r>
        <w:fldChar w:fldCharType="begin"/>
      </w:r>
      <w:r>
        <w:instrText xml:space="preserve"> PAGEREF _Toc84506570 \h </w:instrText>
      </w:r>
      <w:r>
        <w:fldChar w:fldCharType="separate"/>
      </w:r>
      <w:r>
        <w:t>5</w:t>
      </w:r>
      <w:r>
        <w:fldChar w:fldCharType="end"/>
      </w:r>
    </w:p>
    <w:p w14:paraId="4BEC6C17" w14:textId="05B80C59" w:rsidR="00E633A6" w:rsidRDefault="00E633A6">
      <w:pPr>
        <w:pStyle w:val="TOC2"/>
        <w:tabs>
          <w:tab w:val="right" w:leader="dot" w:pos="9062"/>
        </w:tabs>
        <w:rPr>
          <w:rFonts w:asciiTheme="minorHAnsi" w:eastAsiaTheme="minorEastAsia" w:hAnsiTheme="minorHAnsi" w:cstheme="minorBidi"/>
          <w:noProof/>
          <w:sz w:val="22"/>
          <w:szCs w:val="22"/>
        </w:rPr>
      </w:pPr>
      <w:r>
        <w:rPr>
          <w:noProof/>
        </w:rPr>
        <w:t>Overview of the CSC</w:t>
      </w:r>
      <w:r>
        <w:rPr>
          <w:noProof/>
        </w:rPr>
        <w:tab/>
      </w:r>
      <w:r>
        <w:rPr>
          <w:noProof/>
        </w:rPr>
        <w:fldChar w:fldCharType="begin"/>
      </w:r>
      <w:r>
        <w:rPr>
          <w:noProof/>
        </w:rPr>
        <w:instrText xml:space="preserve"> PAGEREF _Toc84506571 \h </w:instrText>
      </w:r>
      <w:r>
        <w:rPr>
          <w:noProof/>
        </w:rPr>
      </w:r>
      <w:r>
        <w:rPr>
          <w:noProof/>
        </w:rPr>
        <w:fldChar w:fldCharType="separate"/>
      </w:r>
      <w:r>
        <w:rPr>
          <w:noProof/>
        </w:rPr>
        <w:t>5</w:t>
      </w:r>
      <w:r>
        <w:rPr>
          <w:noProof/>
        </w:rPr>
        <w:fldChar w:fldCharType="end"/>
      </w:r>
    </w:p>
    <w:p w14:paraId="47FB8F8A" w14:textId="26727F23" w:rsidR="00E633A6" w:rsidRDefault="00E633A6">
      <w:pPr>
        <w:pStyle w:val="TOC2"/>
        <w:tabs>
          <w:tab w:val="right" w:leader="dot" w:pos="9062"/>
        </w:tabs>
        <w:rPr>
          <w:rFonts w:asciiTheme="minorHAnsi" w:eastAsiaTheme="minorEastAsia" w:hAnsiTheme="minorHAnsi" w:cstheme="minorBidi"/>
          <w:noProof/>
          <w:sz w:val="22"/>
          <w:szCs w:val="22"/>
        </w:rPr>
      </w:pPr>
      <w:r>
        <w:rPr>
          <w:noProof/>
        </w:rPr>
        <w:t>CSC Scope and Additional Resources</w:t>
      </w:r>
      <w:r>
        <w:rPr>
          <w:noProof/>
        </w:rPr>
        <w:tab/>
      </w:r>
      <w:r>
        <w:rPr>
          <w:noProof/>
        </w:rPr>
        <w:fldChar w:fldCharType="begin"/>
      </w:r>
      <w:r>
        <w:rPr>
          <w:noProof/>
        </w:rPr>
        <w:instrText xml:space="preserve"> PAGEREF _Toc84506572 \h </w:instrText>
      </w:r>
      <w:r>
        <w:rPr>
          <w:noProof/>
        </w:rPr>
      </w:r>
      <w:r>
        <w:rPr>
          <w:noProof/>
        </w:rPr>
        <w:fldChar w:fldCharType="separate"/>
      </w:r>
      <w:r>
        <w:rPr>
          <w:noProof/>
        </w:rPr>
        <w:t>6</w:t>
      </w:r>
      <w:r>
        <w:rPr>
          <w:noProof/>
        </w:rPr>
        <w:fldChar w:fldCharType="end"/>
      </w:r>
    </w:p>
    <w:p w14:paraId="18BE798D" w14:textId="15C17530" w:rsidR="00E633A6" w:rsidRDefault="00E633A6">
      <w:pPr>
        <w:pStyle w:val="TOC2"/>
        <w:tabs>
          <w:tab w:val="right" w:leader="dot" w:pos="9062"/>
        </w:tabs>
        <w:rPr>
          <w:rFonts w:asciiTheme="minorHAnsi" w:eastAsiaTheme="minorEastAsia" w:hAnsiTheme="minorHAnsi" w:cstheme="minorBidi"/>
          <w:noProof/>
          <w:sz w:val="22"/>
          <w:szCs w:val="22"/>
        </w:rPr>
      </w:pPr>
      <w:r>
        <w:rPr>
          <w:noProof/>
        </w:rPr>
        <w:t>Overview of CSC Tasks</w:t>
      </w:r>
      <w:r>
        <w:rPr>
          <w:noProof/>
        </w:rPr>
        <w:tab/>
      </w:r>
      <w:r>
        <w:rPr>
          <w:noProof/>
        </w:rPr>
        <w:fldChar w:fldCharType="begin"/>
      </w:r>
      <w:r>
        <w:rPr>
          <w:noProof/>
        </w:rPr>
        <w:instrText xml:space="preserve"> PAGEREF _Toc84506573 \h </w:instrText>
      </w:r>
      <w:r>
        <w:rPr>
          <w:noProof/>
        </w:rPr>
      </w:r>
      <w:r>
        <w:rPr>
          <w:noProof/>
        </w:rPr>
        <w:fldChar w:fldCharType="separate"/>
      </w:r>
      <w:r>
        <w:rPr>
          <w:noProof/>
        </w:rPr>
        <w:t>7</w:t>
      </w:r>
      <w:r>
        <w:rPr>
          <w:noProof/>
        </w:rPr>
        <w:fldChar w:fldCharType="end"/>
      </w:r>
    </w:p>
    <w:p w14:paraId="5E49D696" w14:textId="72ABADC6" w:rsidR="00E633A6" w:rsidRDefault="00E633A6">
      <w:pPr>
        <w:pStyle w:val="TOC2"/>
        <w:tabs>
          <w:tab w:val="right" w:leader="dot" w:pos="9062"/>
        </w:tabs>
        <w:rPr>
          <w:rFonts w:asciiTheme="minorHAnsi" w:eastAsiaTheme="minorEastAsia" w:hAnsiTheme="minorHAnsi" w:cstheme="minorBidi"/>
          <w:noProof/>
          <w:sz w:val="22"/>
          <w:szCs w:val="22"/>
        </w:rPr>
      </w:pPr>
      <w:r>
        <w:rPr>
          <w:noProof/>
        </w:rPr>
        <w:t>CSC and Key Persons</w:t>
      </w:r>
      <w:r>
        <w:rPr>
          <w:noProof/>
        </w:rPr>
        <w:tab/>
      </w:r>
      <w:r>
        <w:rPr>
          <w:noProof/>
        </w:rPr>
        <w:fldChar w:fldCharType="begin"/>
      </w:r>
      <w:r>
        <w:rPr>
          <w:noProof/>
        </w:rPr>
        <w:instrText xml:space="preserve"> PAGEREF _Toc84506574 \h </w:instrText>
      </w:r>
      <w:r>
        <w:rPr>
          <w:noProof/>
        </w:rPr>
      </w:r>
      <w:r>
        <w:rPr>
          <w:noProof/>
        </w:rPr>
        <w:fldChar w:fldCharType="separate"/>
      </w:r>
      <w:r>
        <w:rPr>
          <w:noProof/>
        </w:rPr>
        <w:t>7</w:t>
      </w:r>
      <w:r>
        <w:rPr>
          <w:noProof/>
        </w:rPr>
        <w:fldChar w:fldCharType="end"/>
      </w:r>
    </w:p>
    <w:p w14:paraId="51BA1374" w14:textId="2E7443F9" w:rsidR="00E633A6" w:rsidRDefault="00E633A6">
      <w:pPr>
        <w:pStyle w:val="TOC2"/>
        <w:tabs>
          <w:tab w:val="right" w:leader="dot" w:pos="9062"/>
        </w:tabs>
        <w:rPr>
          <w:rFonts w:asciiTheme="minorHAnsi" w:eastAsiaTheme="minorEastAsia" w:hAnsiTheme="minorHAnsi" w:cstheme="minorBidi"/>
          <w:noProof/>
          <w:sz w:val="22"/>
          <w:szCs w:val="22"/>
        </w:rPr>
      </w:pPr>
      <w:r>
        <w:rPr>
          <w:noProof/>
        </w:rPr>
        <w:t>Payment of the CSC Fee</w:t>
      </w:r>
      <w:r>
        <w:rPr>
          <w:noProof/>
        </w:rPr>
        <w:tab/>
      </w:r>
      <w:r>
        <w:rPr>
          <w:noProof/>
        </w:rPr>
        <w:fldChar w:fldCharType="begin"/>
      </w:r>
      <w:r>
        <w:rPr>
          <w:noProof/>
        </w:rPr>
        <w:instrText xml:space="preserve"> PAGEREF _Toc84506575 \h </w:instrText>
      </w:r>
      <w:r>
        <w:rPr>
          <w:noProof/>
        </w:rPr>
      </w:r>
      <w:r>
        <w:rPr>
          <w:noProof/>
        </w:rPr>
        <w:fldChar w:fldCharType="separate"/>
      </w:r>
      <w:r>
        <w:rPr>
          <w:noProof/>
        </w:rPr>
        <w:t>8</w:t>
      </w:r>
      <w:r>
        <w:rPr>
          <w:noProof/>
        </w:rPr>
        <w:fldChar w:fldCharType="end"/>
      </w:r>
    </w:p>
    <w:p w14:paraId="6A89369C" w14:textId="1CBF5C2A" w:rsidR="00E633A6" w:rsidRDefault="00E633A6">
      <w:pPr>
        <w:pStyle w:val="TOC2"/>
        <w:tabs>
          <w:tab w:val="right" w:leader="dot" w:pos="9062"/>
        </w:tabs>
        <w:rPr>
          <w:rFonts w:asciiTheme="minorHAnsi" w:eastAsiaTheme="minorEastAsia" w:hAnsiTheme="minorHAnsi" w:cstheme="minorBidi"/>
          <w:noProof/>
          <w:sz w:val="22"/>
          <w:szCs w:val="22"/>
        </w:rPr>
      </w:pPr>
      <w:r>
        <w:rPr>
          <w:noProof/>
        </w:rPr>
        <w:t>Tendering and Commencement</w:t>
      </w:r>
      <w:r>
        <w:rPr>
          <w:noProof/>
        </w:rPr>
        <w:tab/>
      </w:r>
      <w:r>
        <w:rPr>
          <w:noProof/>
        </w:rPr>
        <w:fldChar w:fldCharType="begin"/>
      </w:r>
      <w:r>
        <w:rPr>
          <w:noProof/>
        </w:rPr>
        <w:instrText xml:space="preserve"> PAGEREF _Toc84506576 \h </w:instrText>
      </w:r>
      <w:r>
        <w:rPr>
          <w:noProof/>
        </w:rPr>
      </w:r>
      <w:r>
        <w:rPr>
          <w:noProof/>
        </w:rPr>
        <w:fldChar w:fldCharType="separate"/>
      </w:r>
      <w:r>
        <w:rPr>
          <w:noProof/>
        </w:rPr>
        <w:t>8</w:t>
      </w:r>
      <w:r>
        <w:rPr>
          <w:noProof/>
        </w:rPr>
        <w:fldChar w:fldCharType="end"/>
      </w:r>
    </w:p>
    <w:p w14:paraId="2D00E6F9" w14:textId="0C764AA4" w:rsidR="00E633A6" w:rsidRDefault="00E633A6">
      <w:pPr>
        <w:pStyle w:val="TOC2"/>
        <w:tabs>
          <w:tab w:val="right" w:leader="dot" w:pos="9062"/>
        </w:tabs>
        <w:rPr>
          <w:rFonts w:asciiTheme="minorHAnsi" w:eastAsiaTheme="minorEastAsia" w:hAnsiTheme="minorHAnsi" w:cstheme="minorBidi"/>
          <w:noProof/>
          <w:sz w:val="22"/>
          <w:szCs w:val="22"/>
        </w:rPr>
      </w:pPr>
      <w:r>
        <w:rPr>
          <w:noProof/>
        </w:rPr>
        <w:t>Related Clauses/Documents</w:t>
      </w:r>
      <w:r>
        <w:rPr>
          <w:noProof/>
        </w:rPr>
        <w:tab/>
      </w:r>
      <w:r>
        <w:rPr>
          <w:noProof/>
        </w:rPr>
        <w:fldChar w:fldCharType="begin"/>
      </w:r>
      <w:r>
        <w:rPr>
          <w:noProof/>
        </w:rPr>
        <w:instrText xml:space="preserve"> PAGEREF _Toc84506577 \h </w:instrText>
      </w:r>
      <w:r>
        <w:rPr>
          <w:noProof/>
        </w:rPr>
      </w:r>
      <w:r>
        <w:rPr>
          <w:noProof/>
        </w:rPr>
        <w:fldChar w:fldCharType="separate"/>
      </w:r>
      <w:r>
        <w:rPr>
          <w:noProof/>
        </w:rPr>
        <w:t>9</w:t>
      </w:r>
      <w:r>
        <w:rPr>
          <w:noProof/>
        </w:rPr>
        <w:fldChar w:fldCharType="end"/>
      </w:r>
    </w:p>
    <w:p w14:paraId="16A9B24E" w14:textId="79F12E07" w:rsidR="00E633A6" w:rsidRDefault="00E633A6">
      <w:pPr>
        <w:pStyle w:val="TOC1"/>
        <w:rPr>
          <w:rFonts w:asciiTheme="minorHAnsi" w:eastAsiaTheme="minorEastAsia" w:hAnsiTheme="minorHAnsi" w:cstheme="minorBidi"/>
          <w:b w:val="0"/>
          <w:sz w:val="22"/>
          <w:szCs w:val="22"/>
        </w:rPr>
      </w:pPr>
      <w:r>
        <w:t>TAILORING GUIDANCE FOR THE CONDITIONS OF TENDER</w:t>
      </w:r>
      <w:r>
        <w:tab/>
      </w:r>
      <w:r>
        <w:fldChar w:fldCharType="begin"/>
      </w:r>
      <w:r>
        <w:instrText xml:space="preserve"> PAGEREF _Toc84506578 \h </w:instrText>
      </w:r>
      <w:r>
        <w:fldChar w:fldCharType="separate"/>
      </w:r>
      <w:r>
        <w:t>10</w:t>
      </w:r>
      <w:r>
        <w:fldChar w:fldCharType="end"/>
      </w:r>
    </w:p>
    <w:p w14:paraId="072A17A2" w14:textId="17E7D142" w:rsidR="00E633A6" w:rsidRDefault="00E633A6">
      <w:pPr>
        <w:pStyle w:val="TOC2"/>
        <w:tabs>
          <w:tab w:val="right" w:leader="dot" w:pos="9062"/>
        </w:tabs>
        <w:rPr>
          <w:rFonts w:asciiTheme="minorHAnsi" w:eastAsiaTheme="minorEastAsia" w:hAnsiTheme="minorHAnsi" w:cstheme="minorBidi"/>
          <w:noProof/>
          <w:sz w:val="22"/>
          <w:szCs w:val="22"/>
        </w:rPr>
      </w:pPr>
      <w:r>
        <w:rPr>
          <w:noProof/>
        </w:rPr>
        <w:t>General</w:t>
      </w:r>
      <w:r>
        <w:rPr>
          <w:noProof/>
        </w:rPr>
        <w:tab/>
      </w:r>
      <w:r>
        <w:rPr>
          <w:noProof/>
        </w:rPr>
        <w:tab/>
      </w:r>
      <w:r>
        <w:rPr>
          <w:noProof/>
        </w:rPr>
        <w:fldChar w:fldCharType="begin"/>
      </w:r>
      <w:r>
        <w:rPr>
          <w:noProof/>
        </w:rPr>
        <w:instrText xml:space="preserve"> PAGEREF _Toc84506579 \h </w:instrText>
      </w:r>
      <w:r>
        <w:rPr>
          <w:noProof/>
        </w:rPr>
      </w:r>
      <w:r>
        <w:rPr>
          <w:noProof/>
        </w:rPr>
        <w:fldChar w:fldCharType="separate"/>
      </w:r>
      <w:r>
        <w:rPr>
          <w:noProof/>
        </w:rPr>
        <w:t>10</w:t>
      </w:r>
      <w:r>
        <w:rPr>
          <w:noProof/>
        </w:rPr>
        <w:fldChar w:fldCharType="end"/>
      </w:r>
    </w:p>
    <w:p w14:paraId="74D9454A" w14:textId="6FA84F56" w:rsidR="00E633A6" w:rsidRDefault="00E633A6">
      <w:pPr>
        <w:pStyle w:val="TOC2"/>
        <w:tabs>
          <w:tab w:val="right" w:leader="dot" w:pos="9062"/>
        </w:tabs>
        <w:rPr>
          <w:rFonts w:asciiTheme="minorHAnsi" w:eastAsiaTheme="minorEastAsia" w:hAnsiTheme="minorHAnsi" w:cstheme="minorBidi"/>
          <w:noProof/>
          <w:sz w:val="22"/>
          <w:szCs w:val="22"/>
        </w:rPr>
      </w:pPr>
      <w:r>
        <w:rPr>
          <w:noProof/>
        </w:rPr>
        <w:t>Updates to Tender Data Requirements</w:t>
      </w:r>
      <w:r>
        <w:rPr>
          <w:noProof/>
        </w:rPr>
        <w:tab/>
      </w:r>
      <w:r>
        <w:rPr>
          <w:noProof/>
        </w:rPr>
        <w:fldChar w:fldCharType="begin"/>
      </w:r>
      <w:r>
        <w:rPr>
          <w:noProof/>
        </w:rPr>
        <w:instrText xml:space="preserve"> PAGEREF _Toc84506580 \h </w:instrText>
      </w:r>
      <w:r>
        <w:rPr>
          <w:noProof/>
        </w:rPr>
      </w:r>
      <w:r>
        <w:rPr>
          <w:noProof/>
        </w:rPr>
        <w:fldChar w:fldCharType="separate"/>
      </w:r>
      <w:r>
        <w:rPr>
          <w:noProof/>
        </w:rPr>
        <w:t>10</w:t>
      </w:r>
      <w:r>
        <w:rPr>
          <w:noProof/>
        </w:rPr>
        <w:fldChar w:fldCharType="end"/>
      </w:r>
    </w:p>
    <w:p w14:paraId="4E4424DD" w14:textId="5DAD3A3A" w:rsidR="00E633A6" w:rsidRDefault="00E633A6">
      <w:pPr>
        <w:pStyle w:val="TOC1"/>
        <w:rPr>
          <w:rFonts w:asciiTheme="minorHAnsi" w:eastAsiaTheme="minorEastAsia" w:hAnsiTheme="minorHAnsi" w:cstheme="minorBidi"/>
          <w:b w:val="0"/>
          <w:sz w:val="22"/>
          <w:szCs w:val="22"/>
        </w:rPr>
      </w:pPr>
      <w:r>
        <w:t>TAILORING GUIDANCE FOR THE CONDITIONS OF CONTRACT</w:t>
      </w:r>
      <w:r>
        <w:tab/>
      </w:r>
      <w:r>
        <w:fldChar w:fldCharType="begin"/>
      </w:r>
      <w:r>
        <w:instrText xml:space="preserve"> PAGEREF _Toc84506581 \h </w:instrText>
      </w:r>
      <w:r>
        <w:fldChar w:fldCharType="separate"/>
      </w:r>
      <w:r>
        <w:t>11</w:t>
      </w:r>
      <w:r>
        <w:fldChar w:fldCharType="end"/>
      </w:r>
    </w:p>
    <w:p w14:paraId="27470B3A" w14:textId="13953751" w:rsidR="00E633A6" w:rsidRDefault="00E633A6">
      <w:pPr>
        <w:pStyle w:val="TOC2"/>
        <w:tabs>
          <w:tab w:val="right" w:leader="dot" w:pos="9062"/>
        </w:tabs>
        <w:rPr>
          <w:rFonts w:asciiTheme="minorHAnsi" w:eastAsiaTheme="minorEastAsia" w:hAnsiTheme="minorHAnsi" w:cstheme="minorBidi"/>
          <w:noProof/>
          <w:sz w:val="22"/>
          <w:szCs w:val="22"/>
        </w:rPr>
      </w:pPr>
      <w:r>
        <w:rPr>
          <w:noProof/>
        </w:rPr>
        <w:t>General</w:t>
      </w:r>
      <w:r>
        <w:rPr>
          <w:noProof/>
        </w:rPr>
        <w:tab/>
      </w:r>
      <w:r>
        <w:rPr>
          <w:noProof/>
        </w:rPr>
        <w:tab/>
      </w:r>
      <w:r>
        <w:rPr>
          <w:noProof/>
        </w:rPr>
        <w:fldChar w:fldCharType="begin"/>
      </w:r>
      <w:r>
        <w:rPr>
          <w:noProof/>
        </w:rPr>
        <w:instrText xml:space="preserve"> PAGEREF _Toc84506582 \h </w:instrText>
      </w:r>
      <w:r>
        <w:rPr>
          <w:noProof/>
        </w:rPr>
      </w:r>
      <w:r>
        <w:rPr>
          <w:noProof/>
        </w:rPr>
        <w:fldChar w:fldCharType="separate"/>
      </w:r>
      <w:r>
        <w:rPr>
          <w:noProof/>
        </w:rPr>
        <w:t>11</w:t>
      </w:r>
      <w:r>
        <w:rPr>
          <w:noProof/>
        </w:rPr>
        <w:fldChar w:fldCharType="end"/>
      </w:r>
    </w:p>
    <w:p w14:paraId="6B867AD9" w14:textId="1A43200D" w:rsidR="00E633A6" w:rsidRDefault="00E633A6">
      <w:pPr>
        <w:pStyle w:val="TOC2"/>
        <w:tabs>
          <w:tab w:val="right" w:leader="dot" w:pos="9062"/>
        </w:tabs>
        <w:rPr>
          <w:rFonts w:asciiTheme="minorHAnsi" w:eastAsiaTheme="minorEastAsia" w:hAnsiTheme="minorHAnsi" w:cstheme="minorBidi"/>
          <w:noProof/>
          <w:sz w:val="22"/>
          <w:szCs w:val="22"/>
        </w:rPr>
      </w:pPr>
      <w:r>
        <w:rPr>
          <w:noProof/>
        </w:rPr>
        <w:t>Existing Clause Updates</w:t>
      </w:r>
      <w:r>
        <w:rPr>
          <w:noProof/>
        </w:rPr>
        <w:tab/>
      </w:r>
      <w:r>
        <w:rPr>
          <w:noProof/>
        </w:rPr>
        <w:fldChar w:fldCharType="begin"/>
      </w:r>
      <w:r>
        <w:rPr>
          <w:noProof/>
        </w:rPr>
        <w:instrText xml:space="preserve"> PAGEREF _Toc84506583 \h </w:instrText>
      </w:r>
      <w:r>
        <w:rPr>
          <w:noProof/>
        </w:rPr>
      </w:r>
      <w:r>
        <w:rPr>
          <w:noProof/>
        </w:rPr>
        <w:fldChar w:fldCharType="separate"/>
      </w:r>
      <w:r>
        <w:rPr>
          <w:noProof/>
        </w:rPr>
        <w:t>11</w:t>
      </w:r>
      <w:r>
        <w:rPr>
          <w:noProof/>
        </w:rPr>
        <w:fldChar w:fldCharType="end"/>
      </w:r>
    </w:p>
    <w:p w14:paraId="2123BB50" w14:textId="7D45A92E" w:rsidR="00E633A6" w:rsidRDefault="00E633A6">
      <w:pPr>
        <w:pStyle w:val="TOC2"/>
        <w:tabs>
          <w:tab w:val="right" w:leader="dot" w:pos="9062"/>
        </w:tabs>
        <w:rPr>
          <w:rFonts w:asciiTheme="minorHAnsi" w:eastAsiaTheme="minorEastAsia" w:hAnsiTheme="minorHAnsi" w:cstheme="minorBidi"/>
          <w:noProof/>
          <w:sz w:val="22"/>
          <w:szCs w:val="22"/>
        </w:rPr>
      </w:pPr>
      <w:r>
        <w:rPr>
          <w:noProof/>
        </w:rPr>
        <w:t>Clause 15. Contractor Standing Capability</w:t>
      </w:r>
      <w:r>
        <w:rPr>
          <w:noProof/>
        </w:rPr>
        <w:tab/>
      </w:r>
      <w:r>
        <w:rPr>
          <w:noProof/>
        </w:rPr>
        <w:fldChar w:fldCharType="begin"/>
      </w:r>
      <w:r>
        <w:rPr>
          <w:noProof/>
        </w:rPr>
        <w:instrText xml:space="preserve"> PAGEREF _Toc84506584 \h </w:instrText>
      </w:r>
      <w:r>
        <w:rPr>
          <w:noProof/>
        </w:rPr>
      </w:r>
      <w:r>
        <w:rPr>
          <w:noProof/>
        </w:rPr>
        <w:fldChar w:fldCharType="separate"/>
      </w:r>
      <w:r>
        <w:rPr>
          <w:noProof/>
        </w:rPr>
        <w:t>11</w:t>
      </w:r>
      <w:r>
        <w:rPr>
          <w:noProof/>
        </w:rPr>
        <w:fldChar w:fldCharType="end"/>
      </w:r>
    </w:p>
    <w:p w14:paraId="72D5B5DD" w14:textId="6230CED3" w:rsidR="00E633A6" w:rsidRDefault="00E633A6">
      <w:pPr>
        <w:pStyle w:val="TOC2"/>
        <w:tabs>
          <w:tab w:val="right" w:leader="dot" w:pos="9062"/>
        </w:tabs>
        <w:rPr>
          <w:rFonts w:asciiTheme="minorHAnsi" w:eastAsiaTheme="minorEastAsia" w:hAnsiTheme="minorHAnsi" w:cstheme="minorBidi"/>
          <w:noProof/>
          <w:sz w:val="22"/>
          <w:szCs w:val="22"/>
        </w:rPr>
      </w:pPr>
      <w:r>
        <w:rPr>
          <w:noProof/>
        </w:rPr>
        <w:t>Attachments</w:t>
      </w:r>
      <w:r>
        <w:rPr>
          <w:noProof/>
        </w:rPr>
        <w:tab/>
      </w:r>
      <w:r>
        <w:rPr>
          <w:noProof/>
        </w:rPr>
        <w:fldChar w:fldCharType="begin"/>
      </w:r>
      <w:r>
        <w:rPr>
          <w:noProof/>
        </w:rPr>
        <w:instrText xml:space="preserve"> PAGEREF _Toc84506585 \h </w:instrText>
      </w:r>
      <w:r>
        <w:rPr>
          <w:noProof/>
        </w:rPr>
      </w:r>
      <w:r>
        <w:rPr>
          <w:noProof/>
        </w:rPr>
        <w:fldChar w:fldCharType="separate"/>
      </w:r>
      <w:r>
        <w:rPr>
          <w:noProof/>
        </w:rPr>
        <w:t>13</w:t>
      </w:r>
      <w:r>
        <w:rPr>
          <w:noProof/>
        </w:rPr>
        <w:fldChar w:fldCharType="end"/>
      </w:r>
    </w:p>
    <w:p w14:paraId="0BAEDC45" w14:textId="3BFD8B04" w:rsidR="00E633A6" w:rsidRDefault="00E633A6">
      <w:pPr>
        <w:pStyle w:val="TOC1"/>
        <w:rPr>
          <w:rFonts w:asciiTheme="minorHAnsi" w:eastAsiaTheme="minorEastAsia" w:hAnsiTheme="minorHAnsi" w:cstheme="minorBidi"/>
          <w:b w:val="0"/>
          <w:sz w:val="22"/>
          <w:szCs w:val="22"/>
        </w:rPr>
      </w:pPr>
      <w:r>
        <w:t>TAILORING GUIDANCE FOR THE STATEMENT OF WORK</w:t>
      </w:r>
      <w:r>
        <w:tab/>
      </w:r>
      <w:r>
        <w:fldChar w:fldCharType="begin"/>
      </w:r>
      <w:r>
        <w:instrText xml:space="preserve"> PAGEREF _Toc84506586 \h </w:instrText>
      </w:r>
      <w:r>
        <w:fldChar w:fldCharType="separate"/>
      </w:r>
      <w:r>
        <w:t>13</w:t>
      </w:r>
      <w:r>
        <w:fldChar w:fldCharType="end"/>
      </w:r>
    </w:p>
    <w:p w14:paraId="4E44F5A4" w14:textId="1FAA2FBC" w:rsidR="00E633A6" w:rsidRDefault="00E633A6">
      <w:pPr>
        <w:pStyle w:val="TOC2"/>
        <w:tabs>
          <w:tab w:val="right" w:leader="dot" w:pos="9062"/>
        </w:tabs>
        <w:rPr>
          <w:rFonts w:asciiTheme="minorHAnsi" w:eastAsiaTheme="minorEastAsia" w:hAnsiTheme="minorHAnsi" w:cstheme="minorBidi"/>
          <w:noProof/>
          <w:sz w:val="22"/>
          <w:szCs w:val="22"/>
        </w:rPr>
      </w:pPr>
      <w:r>
        <w:rPr>
          <w:noProof/>
        </w:rPr>
        <w:t>SOW and Annexes</w:t>
      </w:r>
      <w:r>
        <w:rPr>
          <w:noProof/>
        </w:rPr>
        <w:tab/>
      </w:r>
      <w:r>
        <w:rPr>
          <w:noProof/>
        </w:rPr>
        <w:fldChar w:fldCharType="begin"/>
      </w:r>
      <w:r>
        <w:rPr>
          <w:noProof/>
        </w:rPr>
        <w:instrText xml:space="preserve"> PAGEREF _Toc84506587 \h </w:instrText>
      </w:r>
      <w:r>
        <w:rPr>
          <w:noProof/>
        </w:rPr>
      </w:r>
      <w:r>
        <w:rPr>
          <w:noProof/>
        </w:rPr>
        <w:fldChar w:fldCharType="separate"/>
      </w:r>
      <w:r>
        <w:rPr>
          <w:noProof/>
        </w:rPr>
        <w:t>13</w:t>
      </w:r>
      <w:r>
        <w:rPr>
          <w:noProof/>
        </w:rPr>
        <w:fldChar w:fldCharType="end"/>
      </w:r>
    </w:p>
    <w:p w14:paraId="469085B8" w14:textId="35CDC807" w:rsidR="00E633A6" w:rsidRDefault="00E633A6">
      <w:pPr>
        <w:pStyle w:val="TOC2"/>
        <w:tabs>
          <w:tab w:val="right" w:leader="dot" w:pos="9062"/>
        </w:tabs>
        <w:rPr>
          <w:rFonts w:asciiTheme="minorHAnsi" w:eastAsiaTheme="minorEastAsia" w:hAnsiTheme="minorHAnsi" w:cstheme="minorBidi"/>
          <w:noProof/>
          <w:sz w:val="22"/>
          <w:szCs w:val="22"/>
        </w:rPr>
      </w:pPr>
      <w:r>
        <w:rPr>
          <w:noProof/>
        </w:rPr>
        <w:t>DSD-ENG-CSC</w:t>
      </w:r>
      <w:r>
        <w:rPr>
          <w:noProof/>
        </w:rPr>
        <w:tab/>
      </w:r>
      <w:r>
        <w:rPr>
          <w:noProof/>
        </w:rPr>
        <w:fldChar w:fldCharType="begin"/>
      </w:r>
      <w:r>
        <w:rPr>
          <w:noProof/>
        </w:rPr>
        <w:instrText xml:space="preserve"> PAGEREF _Toc84506588 \h </w:instrText>
      </w:r>
      <w:r>
        <w:rPr>
          <w:noProof/>
        </w:rPr>
      </w:r>
      <w:r>
        <w:rPr>
          <w:noProof/>
        </w:rPr>
        <w:fldChar w:fldCharType="separate"/>
      </w:r>
      <w:r>
        <w:rPr>
          <w:noProof/>
        </w:rPr>
        <w:t>13</w:t>
      </w:r>
      <w:r>
        <w:rPr>
          <w:noProof/>
        </w:rPr>
        <w:fldChar w:fldCharType="end"/>
      </w:r>
    </w:p>
    <w:p w14:paraId="3166C853" w14:textId="2C46FB33" w:rsidR="00E633A6" w:rsidRDefault="00E633A6">
      <w:pPr>
        <w:pStyle w:val="TOC2"/>
        <w:tabs>
          <w:tab w:val="right" w:leader="dot" w:pos="9062"/>
        </w:tabs>
        <w:rPr>
          <w:rFonts w:asciiTheme="minorHAnsi" w:eastAsiaTheme="minorEastAsia" w:hAnsiTheme="minorHAnsi" w:cstheme="minorBidi"/>
          <w:noProof/>
          <w:sz w:val="22"/>
          <w:szCs w:val="22"/>
        </w:rPr>
      </w:pPr>
      <w:r>
        <w:rPr>
          <w:noProof/>
        </w:rPr>
        <w:t>Data Item Descriptions</w:t>
      </w:r>
      <w:r>
        <w:rPr>
          <w:noProof/>
        </w:rPr>
        <w:tab/>
      </w:r>
      <w:r>
        <w:rPr>
          <w:noProof/>
        </w:rPr>
        <w:fldChar w:fldCharType="begin"/>
      </w:r>
      <w:r>
        <w:rPr>
          <w:noProof/>
        </w:rPr>
        <w:instrText xml:space="preserve"> PAGEREF _Toc84506589 \h </w:instrText>
      </w:r>
      <w:r>
        <w:rPr>
          <w:noProof/>
        </w:rPr>
      </w:r>
      <w:r>
        <w:rPr>
          <w:noProof/>
        </w:rPr>
        <w:fldChar w:fldCharType="separate"/>
      </w:r>
      <w:r>
        <w:rPr>
          <w:noProof/>
        </w:rPr>
        <w:t>13</w:t>
      </w:r>
      <w:r>
        <w:rPr>
          <w:noProof/>
        </w:rPr>
        <w:fldChar w:fldCharType="end"/>
      </w:r>
    </w:p>
    <w:p w14:paraId="6B329312" w14:textId="3AFF3AC1" w:rsidR="00DC25EA" w:rsidRPr="00A641F2" w:rsidRDefault="00E633A6" w:rsidP="00023969">
      <w:pPr>
        <w:pStyle w:val="TOC1"/>
      </w:pPr>
      <w:r>
        <w:fldChar w:fldCharType="end"/>
      </w:r>
    </w:p>
    <w:p w14:paraId="6DE070BB" w14:textId="77777777" w:rsidR="004F665D" w:rsidRPr="00A641F2" w:rsidRDefault="00DC25EA" w:rsidP="00023969">
      <w:pPr>
        <w:pStyle w:val="GuideLV1Head-ASDEFCON"/>
      </w:pPr>
      <w:r w:rsidRPr="00081E29">
        <w:br w:type="page"/>
      </w:r>
      <w:bookmarkStart w:id="1" w:name="_Toc423808614"/>
      <w:bookmarkStart w:id="2" w:name="_Toc519256339"/>
      <w:bookmarkStart w:id="3" w:name="_Toc519256722"/>
      <w:bookmarkStart w:id="4" w:name="_Toc522618350"/>
      <w:bookmarkStart w:id="5" w:name="_Toc84506563"/>
      <w:r w:rsidR="00D56B52" w:rsidRPr="00D56B52">
        <w:t>INTRODUCTION</w:t>
      </w:r>
      <w:bookmarkEnd w:id="1"/>
      <w:bookmarkEnd w:id="2"/>
      <w:bookmarkEnd w:id="3"/>
      <w:bookmarkEnd w:id="4"/>
      <w:bookmarkEnd w:id="5"/>
    </w:p>
    <w:p w14:paraId="722963E8" w14:textId="13DF5403" w:rsidR="004F665D" w:rsidRPr="00A641F2" w:rsidRDefault="004F665D" w:rsidP="00023969">
      <w:pPr>
        <w:pStyle w:val="GuideLV2Head-ASDEFCON"/>
      </w:pPr>
      <w:bookmarkStart w:id="6" w:name="_Toc423808615"/>
      <w:bookmarkStart w:id="7" w:name="_Toc519256340"/>
      <w:bookmarkStart w:id="8" w:name="_Toc519256723"/>
      <w:bookmarkStart w:id="9" w:name="_Toc522618351"/>
      <w:bookmarkStart w:id="10" w:name="_Toc84506564"/>
      <w:r w:rsidRPr="00A641F2">
        <w:t>Background</w:t>
      </w:r>
      <w:bookmarkEnd w:id="6"/>
      <w:bookmarkEnd w:id="7"/>
      <w:bookmarkEnd w:id="8"/>
      <w:bookmarkEnd w:id="9"/>
      <w:bookmarkEnd w:id="10"/>
    </w:p>
    <w:p w14:paraId="38EAAC6C" w14:textId="29893BFE" w:rsidR="009C702E" w:rsidRPr="00A641F2" w:rsidRDefault="00C93050" w:rsidP="00023969">
      <w:pPr>
        <w:pStyle w:val="GuideText-ASDEFCON"/>
      </w:pPr>
      <w:r w:rsidRPr="00A641F2">
        <w:rPr>
          <w:i/>
        </w:rPr>
        <w:t xml:space="preserve">ASDEFCON (Support) </w:t>
      </w:r>
      <w:r w:rsidR="001B3AAC" w:rsidRPr="00A641F2">
        <w:rPr>
          <w:i/>
        </w:rPr>
        <w:fldChar w:fldCharType="begin"/>
      </w:r>
      <w:r w:rsidR="001B3AAC" w:rsidRPr="00A641F2">
        <w:rPr>
          <w:i/>
        </w:rPr>
        <w:instrText xml:space="preserve"> DOCPROPERTY Version </w:instrText>
      </w:r>
      <w:r w:rsidR="001B3AAC" w:rsidRPr="00A641F2">
        <w:rPr>
          <w:i/>
        </w:rPr>
        <w:fldChar w:fldCharType="separate"/>
      </w:r>
      <w:r w:rsidR="00505D9A">
        <w:rPr>
          <w:i/>
        </w:rPr>
        <w:t>V5.0</w:t>
      </w:r>
      <w:r w:rsidR="001B3AAC" w:rsidRPr="00A641F2">
        <w:rPr>
          <w:i/>
        </w:rPr>
        <w:fldChar w:fldCharType="end"/>
      </w:r>
      <w:r w:rsidRPr="00A641F2">
        <w:t xml:space="preserve"> is a template for Productivity and Performance Based Contract</w:t>
      </w:r>
      <w:r w:rsidR="004B7710" w:rsidRPr="00A641F2">
        <w:t>s</w:t>
      </w:r>
      <w:r w:rsidRPr="00A641F2">
        <w:t xml:space="preserve"> (PPBC</w:t>
      </w:r>
      <w:r w:rsidR="004B7710" w:rsidRPr="00A641F2">
        <w:t>s</w:t>
      </w:r>
      <w:r w:rsidRPr="00A641F2">
        <w:t xml:space="preserve">), which </w:t>
      </w:r>
      <w:r w:rsidR="004B7710" w:rsidRPr="00A641F2">
        <w:t>use</w:t>
      </w:r>
      <w:r w:rsidRPr="00A641F2">
        <w:t xml:space="preserve"> </w:t>
      </w:r>
      <w:r w:rsidR="001B3AAC" w:rsidRPr="00A641F2">
        <w:t xml:space="preserve">Key Performance Indicators (KPIs) </w:t>
      </w:r>
      <w:r w:rsidR="000C348B" w:rsidRPr="00A641F2">
        <w:t xml:space="preserve">with related </w:t>
      </w:r>
      <w:r w:rsidRPr="00A641F2">
        <w:t xml:space="preserve">rewards and remedies to motivate the Contractor to achieve Defence’s required outcomes for the </w:t>
      </w:r>
      <w:r w:rsidR="00B70B0C" w:rsidRPr="00A641F2">
        <w:t>Contract</w:t>
      </w:r>
      <w:r w:rsidRPr="00A641F2">
        <w:t xml:space="preserve">.  Notwithstanding, not all </w:t>
      </w:r>
      <w:r w:rsidR="000C348B" w:rsidRPr="00A641F2">
        <w:t xml:space="preserve">Contract </w:t>
      </w:r>
      <w:r w:rsidRPr="00A641F2">
        <w:t xml:space="preserve">work can or should be </w:t>
      </w:r>
      <w:r w:rsidR="000C348B" w:rsidRPr="00A641F2">
        <w:t>measured</w:t>
      </w:r>
      <w:r w:rsidR="004B7710" w:rsidRPr="00A641F2">
        <w:t xml:space="preserve"> using </w:t>
      </w:r>
      <w:r w:rsidRPr="00A641F2">
        <w:t xml:space="preserve">KPIs.  Specialist engineering and design work </w:t>
      </w:r>
      <w:r w:rsidR="008E769F" w:rsidRPr="00A641F2">
        <w:t xml:space="preserve">is </w:t>
      </w:r>
      <w:r w:rsidRPr="00A641F2">
        <w:t xml:space="preserve">often </w:t>
      </w:r>
      <w:r w:rsidR="00BF0A7D" w:rsidRPr="00A641F2">
        <w:t>not suited to KPIs</w:t>
      </w:r>
      <w:r w:rsidR="004B7710" w:rsidRPr="00A641F2">
        <w:t>,</w:t>
      </w:r>
      <w:r w:rsidRPr="00A641F2">
        <w:t xml:space="preserve"> because the scope cannot be </w:t>
      </w:r>
      <w:r w:rsidR="000C348B" w:rsidRPr="00A641F2">
        <w:t xml:space="preserve">adequately </w:t>
      </w:r>
      <w:r w:rsidRPr="00A641F2">
        <w:t xml:space="preserve">defined in advance of a contract.  Work, such as </w:t>
      </w:r>
      <w:r w:rsidR="00B70B0C" w:rsidRPr="00A641F2">
        <w:t xml:space="preserve">detailed </w:t>
      </w:r>
      <w:r w:rsidRPr="00A641F2">
        <w:t>investigati</w:t>
      </w:r>
      <w:r w:rsidR="00B70B0C" w:rsidRPr="00A641F2">
        <w:t>o</w:t>
      </w:r>
      <w:r w:rsidRPr="00A641F2">
        <w:t>n</w:t>
      </w:r>
      <w:r w:rsidR="00B70B0C" w:rsidRPr="00A641F2">
        <w:t>s of</w:t>
      </w:r>
      <w:r w:rsidRPr="00A641F2">
        <w:t xml:space="preserve"> defects and </w:t>
      </w:r>
      <w:r w:rsidR="001A47D9" w:rsidRPr="00A641F2">
        <w:t xml:space="preserve">the </w:t>
      </w:r>
      <w:r w:rsidRPr="00A641F2">
        <w:t>develop</w:t>
      </w:r>
      <w:r w:rsidR="001A47D9" w:rsidRPr="00A641F2">
        <w:t>ment of</w:t>
      </w:r>
      <w:r w:rsidRPr="00A641F2">
        <w:t xml:space="preserve"> Engineering Change Proposals (ECPs), can only be scoped </w:t>
      </w:r>
      <w:r w:rsidR="000C348B" w:rsidRPr="00A641F2">
        <w:t>once</w:t>
      </w:r>
      <w:r w:rsidRPr="00A641F2">
        <w:t xml:space="preserve"> the </w:t>
      </w:r>
      <w:r w:rsidR="000C348B" w:rsidRPr="00A641F2">
        <w:t xml:space="preserve">individual activity </w:t>
      </w:r>
      <w:r w:rsidRPr="00A641F2">
        <w:t>is identified</w:t>
      </w:r>
      <w:r w:rsidR="004B7710" w:rsidRPr="00A641F2">
        <w:t xml:space="preserve"> and analysed</w:t>
      </w:r>
      <w:r w:rsidRPr="00A641F2">
        <w:t>.  The</w:t>
      </w:r>
      <w:r w:rsidR="00B70B0C" w:rsidRPr="00A641F2">
        <w:t xml:space="preserve"> </w:t>
      </w:r>
      <w:r w:rsidR="00B70B0C" w:rsidRPr="00A641F2">
        <w:rPr>
          <w:i/>
        </w:rPr>
        <w:t>Contractor Standing Capability</w:t>
      </w:r>
      <w:r w:rsidRPr="00A641F2">
        <w:rPr>
          <w:i/>
        </w:rPr>
        <w:t xml:space="preserve"> </w:t>
      </w:r>
      <w:r w:rsidR="00B70B0C" w:rsidRPr="00A641F2">
        <w:rPr>
          <w:i/>
        </w:rPr>
        <w:t>(</w:t>
      </w:r>
      <w:r w:rsidRPr="00A641F2">
        <w:rPr>
          <w:i/>
        </w:rPr>
        <w:t>CSC</w:t>
      </w:r>
      <w:r w:rsidR="00B70B0C" w:rsidRPr="00A641F2">
        <w:rPr>
          <w:i/>
        </w:rPr>
        <w:t>)</w:t>
      </w:r>
      <w:r w:rsidRPr="00A641F2">
        <w:rPr>
          <w:i/>
        </w:rPr>
        <w:t xml:space="preserve"> </w:t>
      </w:r>
      <w:r w:rsidR="00B70B0C" w:rsidRPr="00A641F2">
        <w:rPr>
          <w:i/>
        </w:rPr>
        <w:t>Module</w:t>
      </w:r>
      <w:r w:rsidR="00B70B0C" w:rsidRPr="00A641F2">
        <w:t xml:space="preserve"> </w:t>
      </w:r>
      <w:r w:rsidRPr="00A641F2">
        <w:t xml:space="preserve">provides </w:t>
      </w:r>
      <w:r w:rsidR="001A47D9" w:rsidRPr="00A641F2">
        <w:t>a method</w:t>
      </w:r>
      <w:r w:rsidRPr="00A641F2">
        <w:t xml:space="preserve"> for managing these types of emergent work,</w:t>
      </w:r>
      <w:r w:rsidR="00B70B0C" w:rsidRPr="00A641F2">
        <w:t xml:space="preserve"> where the scope is not able to be accurately forecast</w:t>
      </w:r>
      <w:r w:rsidRPr="00A641F2">
        <w:t>.</w:t>
      </w:r>
    </w:p>
    <w:p w14:paraId="1DE58FDE" w14:textId="2161DC4E" w:rsidR="004F665D" w:rsidRPr="00A641F2" w:rsidRDefault="003F378E" w:rsidP="00023969">
      <w:pPr>
        <w:pStyle w:val="GuideLV2Head-ASDEFCON"/>
      </w:pPr>
      <w:bookmarkStart w:id="11" w:name="_Toc423808616"/>
      <w:bookmarkStart w:id="12" w:name="_Toc519256341"/>
      <w:bookmarkStart w:id="13" w:name="_Toc519256724"/>
      <w:bookmarkStart w:id="14" w:name="_Toc522618352"/>
      <w:bookmarkStart w:id="15" w:name="_Toc84506565"/>
      <w:r w:rsidRPr="00A641F2">
        <w:t>The CSC Module</w:t>
      </w:r>
      <w:bookmarkEnd w:id="11"/>
      <w:bookmarkEnd w:id="12"/>
      <w:bookmarkEnd w:id="13"/>
      <w:bookmarkEnd w:id="14"/>
      <w:bookmarkEnd w:id="15"/>
    </w:p>
    <w:p w14:paraId="0ACCE8F4" w14:textId="16AC6D99" w:rsidR="003F378E" w:rsidRPr="00A641F2" w:rsidRDefault="003F378E" w:rsidP="00023969">
      <w:pPr>
        <w:pStyle w:val="GuideText-ASDEFCON"/>
      </w:pPr>
      <w:r w:rsidRPr="00A641F2">
        <w:t xml:space="preserve">The </w:t>
      </w:r>
      <w:r w:rsidRPr="00A641F2">
        <w:rPr>
          <w:i/>
        </w:rPr>
        <w:t>CSC Module</w:t>
      </w:r>
      <w:r w:rsidRPr="00A641F2">
        <w:t xml:space="preserve"> provides a mechanism for managing and maintaining </w:t>
      </w:r>
      <w:r w:rsidR="000C348B" w:rsidRPr="00A641F2">
        <w:t xml:space="preserve">a team with </w:t>
      </w:r>
      <w:r w:rsidR="00BF0A7D" w:rsidRPr="00A641F2">
        <w:t xml:space="preserve">specialist </w:t>
      </w:r>
      <w:r w:rsidRPr="00A641F2">
        <w:t xml:space="preserve">expertise for </w:t>
      </w:r>
      <w:r w:rsidR="002C42AA" w:rsidRPr="00A641F2">
        <w:t xml:space="preserve">the duration of a contract and, ultimately, for </w:t>
      </w:r>
      <w:r w:rsidR="00BF0A7D" w:rsidRPr="00A641F2">
        <w:t>the</w:t>
      </w:r>
      <w:r w:rsidRPr="00A641F2">
        <w:t xml:space="preserve"> Life</w:t>
      </w:r>
      <w:r w:rsidR="00F42B25">
        <w:t>-o</w:t>
      </w:r>
      <w:r w:rsidRPr="00A641F2">
        <w:t>f</w:t>
      </w:r>
      <w:r w:rsidR="00F42B25">
        <w:t>-</w:t>
      </w:r>
      <w:r w:rsidRPr="00A641F2">
        <w:t>Type (LOT)</w:t>
      </w:r>
      <w:r w:rsidR="00BF0A7D" w:rsidRPr="00A641F2">
        <w:t xml:space="preserve"> of a Materiel System</w:t>
      </w:r>
      <w:r w:rsidR="002C42AA" w:rsidRPr="00A641F2">
        <w:t>.</w:t>
      </w:r>
      <w:r w:rsidRPr="00A641F2">
        <w:t xml:space="preserve"> </w:t>
      </w:r>
      <w:r w:rsidR="002C42AA" w:rsidRPr="00A641F2">
        <w:t xml:space="preserve"> This is </w:t>
      </w:r>
      <w:r w:rsidRPr="00A641F2">
        <w:t xml:space="preserve">particularly </w:t>
      </w:r>
      <w:r w:rsidR="002C42AA" w:rsidRPr="00A641F2">
        <w:t xml:space="preserve">important </w:t>
      </w:r>
      <w:r w:rsidRPr="00A641F2">
        <w:t xml:space="preserve">in circumstances where the system (or key part(s) of it) is unique to Australia (eg, because it was developed </w:t>
      </w:r>
      <w:r w:rsidR="00501633" w:rsidRPr="00A641F2">
        <w:t>locally</w:t>
      </w:r>
      <w:r w:rsidRPr="00A641F2">
        <w:t xml:space="preserve"> or become a</w:t>
      </w:r>
      <w:r w:rsidR="002C42AA" w:rsidRPr="00A641F2">
        <w:t xml:space="preserve"> technological</w:t>
      </w:r>
      <w:r w:rsidRPr="00A641F2">
        <w:t xml:space="preserve"> orphan over time).  The complexity of the Products Being Supported and the scope and pace of </w:t>
      </w:r>
      <w:r w:rsidR="00BF0A7D" w:rsidRPr="00A641F2">
        <w:t xml:space="preserve">expected </w:t>
      </w:r>
      <w:r w:rsidRPr="00A641F2">
        <w:t xml:space="preserve">changes over the </w:t>
      </w:r>
      <w:r w:rsidR="0050575B" w:rsidRPr="00A641F2">
        <w:t xml:space="preserve">LOT </w:t>
      </w:r>
      <w:r w:rsidRPr="00A641F2">
        <w:t>of these Products are two factors that affect whether or not a CSC should be established.</w:t>
      </w:r>
    </w:p>
    <w:p w14:paraId="7211A00B" w14:textId="77777777" w:rsidR="002C42AA" w:rsidRPr="00A641F2" w:rsidRDefault="002C42AA" w:rsidP="00023969">
      <w:pPr>
        <w:pStyle w:val="GuideText-ASDEFCON"/>
      </w:pPr>
      <w:r w:rsidRPr="00A641F2">
        <w:t xml:space="preserve">The purpose of the CSC is to provide </w:t>
      </w:r>
      <w:r w:rsidR="0050575B" w:rsidRPr="00A641F2">
        <w:t xml:space="preserve">access to </w:t>
      </w:r>
      <w:r w:rsidRPr="00A641F2">
        <w:t>an on-going pool of expertise</w:t>
      </w:r>
      <w:r w:rsidR="00501633" w:rsidRPr="00A641F2">
        <w:t>.</w:t>
      </w:r>
      <w:r w:rsidRPr="00A641F2">
        <w:t xml:space="preserve"> </w:t>
      </w:r>
      <w:r w:rsidR="00501633" w:rsidRPr="00A641F2">
        <w:t>These are often</w:t>
      </w:r>
      <w:r w:rsidRPr="00A641F2">
        <w:t xml:space="preserve"> used for specialist engineering and design activities</w:t>
      </w:r>
      <w:r w:rsidR="001A47D9" w:rsidRPr="00A641F2">
        <w:t>,</w:t>
      </w:r>
      <w:r w:rsidRPr="00A641F2">
        <w:t xml:space="preserve"> for both hardware and software, </w:t>
      </w:r>
      <w:r w:rsidR="00501633" w:rsidRPr="00A641F2">
        <w:t xml:space="preserve">but may also be used </w:t>
      </w:r>
      <w:r w:rsidRPr="00A641F2">
        <w:t xml:space="preserve">for maintaining Training </w:t>
      </w:r>
      <w:r w:rsidR="0050575B" w:rsidRPr="00A641F2">
        <w:t>Materials</w:t>
      </w:r>
      <w:r w:rsidR="001A47D9" w:rsidRPr="00A641F2">
        <w:t xml:space="preserve"> or other activities</w:t>
      </w:r>
      <w:r w:rsidR="0050575B" w:rsidRPr="00A641F2">
        <w:t xml:space="preserve"> </w:t>
      </w:r>
      <w:r w:rsidRPr="00A641F2">
        <w:t xml:space="preserve">where each </w:t>
      </w:r>
      <w:r w:rsidR="001A47D9" w:rsidRPr="00A641F2">
        <w:t xml:space="preserve">event </w:t>
      </w:r>
      <w:r w:rsidRPr="00A641F2">
        <w:t xml:space="preserve">is </w:t>
      </w:r>
      <w:r w:rsidR="0050575B" w:rsidRPr="00A641F2">
        <w:t>difficult to forecast</w:t>
      </w:r>
      <w:r w:rsidRPr="00A641F2">
        <w:t xml:space="preserve">.  The alternative </w:t>
      </w:r>
      <w:r w:rsidR="0050575B" w:rsidRPr="00A641F2">
        <w:t>is often</w:t>
      </w:r>
      <w:r w:rsidRPr="00A641F2">
        <w:t xml:space="preserve"> a </w:t>
      </w:r>
      <w:r w:rsidR="0050575B" w:rsidRPr="00A641F2">
        <w:t xml:space="preserve">continuous </w:t>
      </w:r>
      <w:r w:rsidRPr="00A641F2">
        <w:t xml:space="preserve">series of S&amp;Q Services; however, </w:t>
      </w:r>
      <w:r w:rsidR="001A47D9" w:rsidRPr="00A641F2">
        <w:t>S&amp;Q Services generally</w:t>
      </w:r>
      <w:r w:rsidRPr="00A641F2">
        <w:t xml:space="preserve"> incur higher labour charges and reduce</w:t>
      </w:r>
      <w:r w:rsidR="001A47D9" w:rsidRPr="00A641F2">
        <w:t>d</w:t>
      </w:r>
      <w:r w:rsidRPr="00A641F2">
        <w:t xml:space="preserve"> skills continuity due to the</w:t>
      </w:r>
      <w:r w:rsidR="001A47D9" w:rsidRPr="00A641F2">
        <w:t>ir</w:t>
      </w:r>
      <w:r w:rsidRPr="00A641F2">
        <w:t xml:space="preserve"> stop/start nature.  Note that the CSC is not a replacement for Recurring Services.</w:t>
      </w:r>
    </w:p>
    <w:p w14:paraId="2935CA2C" w14:textId="77777777" w:rsidR="00CF6121" w:rsidRPr="00A641F2" w:rsidRDefault="00CF6121" w:rsidP="00023969">
      <w:pPr>
        <w:pStyle w:val="GuideText-ASDEFCON"/>
      </w:pPr>
      <w:r w:rsidRPr="00A641F2">
        <w:t>The CSC Module comprises the following files:</w:t>
      </w:r>
    </w:p>
    <w:p w14:paraId="0F99BD59" w14:textId="38BD35EE" w:rsidR="00211EE3" w:rsidRDefault="00A34BFD" w:rsidP="00023969">
      <w:pPr>
        <w:pStyle w:val="GuideSublistLv1-ASDEFCON"/>
      </w:pPr>
      <w:r>
        <w:t>01_SPT</w:t>
      </w:r>
      <w:r w:rsidRPr="00F65BAD">
        <w:fldChar w:fldCharType="begin"/>
      </w:r>
      <w:r w:rsidRPr="00C351BC">
        <w:instrText xml:space="preserve"> DOCPROPERTY Version </w:instrText>
      </w:r>
      <w:r w:rsidRPr="00F65BAD">
        <w:fldChar w:fldCharType="separate"/>
      </w:r>
      <w:r w:rsidR="00505D9A">
        <w:t>V5.0</w:t>
      </w:r>
      <w:r w:rsidRPr="00F65BAD">
        <w:fldChar w:fldCharType="end"/>
      </w:r>
      <w:r>
        <w:t>_CSC_</w:t>
      </w:r>
      <w:r w:rsidR="00211EE3" w:rsidRPr="00F65BAD">
        <w:t>General</w:t>
      </w:r>
      <w:r w:rsidR="004866A5" w:rsidRPr="004866A5">
        <w:t>.doc</w:t>
      </w:r>
      <w:r w:rsidR="004866A5">
        <w:t>x</w:t>
      </w:r>
      <w:r w:rsidR="00211EE3" w:rsidRPr="00F65BAD">
        <w:t xml:space="preserve"> </w:t>
      </w:r>
      <w:r w:rsidR="00211EE3" w:rsidRPr="00A07A2C">
        <w:t>(this document)</w:t>
      </w:r>
    </w:p>
    <w:p w14:paraId="1801BE20" w14:textId="20E0C9FB" w:rsidR="00A13BDC" w:rsidRPr="00A34BFD" w:rsidRDefault="00A34BFD" w:rsidP="00023969">
      <w:pPr>
        <w:pStyle w:val="GuideSublistLv1-ASDEFCON"/>
      </w:pPr>
      <w:r w:rsidRPr="00A34BFD">
        <w:t>02_SPT</w:t>
      </w:r>
      <w:r w:rsidR="00081E29">
        <w:fldChar w:fldCharType="begin"/>
      </w:r>
      <w:r w:rsidR="00081E29">
        <w:instrText xml:space="preserve"> DOCPROPERTY Version </w:instrText>
      </w:r>
      <w:r w:rsidR="00081E29">
        <w:fldChar w:fldCharType="separate"/>
      </w:r>
      <w:r w:rsidR="00505D9A">
        <w:t>V5.0</w:t>
      </w:r>
      <w:r w:rsidR="00081E29">
        <w:fldChar w:fldCharType="end"/>
      </w:r>
      <w:r w:rsidRPr="00A34BFD">
        <w:t>_CSC_</w:t>
      </w:r>
      <w:r w:rsidR="00A13BDC" w:rsidRPr="00A34BFD">
        <w:t>COT</w:t>
      </w:r>
      <w:r w:rsidR="004866A5" w:rsidRPr="004866A5">
        <w:t>.doc</w:t>
      </w:r>
      <w:r w:rsidR="004866A5">
        <w:t>x</w:t>
      </w:r>
    </w:p>
    <w:p w14:paraId="15E78D59" w14:textId="449ABA59" w:rsidR="00CF6121" w:rsidRPr="00A34BFD" w:rsidRDefault="00A34BFD" w:rsidP="00023969">
      <w:pPr>
        <w:pStyle w:val="GuideSublistLv1-ASDEFCON"/>
      </w:pPr>
      <w:r w:rsidRPr="00A34BFD">
        <w:t>03_SPT</w:t>
      </w:r>
      <w:r w:rsidR="00081E29">
        <w:fldChar w:fldCharType="begin"/>
      </w:r>
      <w:r w:rsidR="00081E29">
        <w:instrText xml:space="preserve"> DOCPROPERTY Version </w:instrText>
      </w:r>
      <w:r w:rsidR="00081E29">
        <w:fldChar w:fldCharType="separate"/>
      </w:r>
      <w:r w:rsidR="00505D9A">
        <w:t>V5.0</w:t>
      </w:r>
      <w:r w:rsidR="00081E29">
        <w:fldChar w:fldCharType="end"/>
      </w:r>
      <w:r w:rsidRPr="00A34BFD">
        <w:t>_CSC_</w:t>
      </w:r>
      <w:r w:rsidR="00CF6121" w:rsidRPr="00A34BFD">
        <w:t>COC</w:t>
      </w:r>
      <w:r w:rsidR="004866A5" w:rsidRPr="004866A5">
        <w:t>.doc</w:t>
      </w:r>
      <w:r w:rsidR="004866A5">
        <w:t>x</w:t>
      </w:r>
    </w:p>
    <w:p w14:paraId="6F2639E4" w14:textId="08AE1A0D" w:rsidR="00CF6121" w:rsidRPr="00A34BFD" w:rsidRDefault="00A34BFD" w:rsidP="00023969">
      <w:pPr>
        <w:pStyle w:val="GuideSublistLv1-ASDEFCON"/>
      </w:pPr>
      <w:r>
        <w:t>04_</w:t>
      </w:r>
      <w:r w:rsidRPr="00A34BFD">
        <w:t>SPT</w:t>
      </w:r>
      <w:r w:rsidR="00081E29">
        <w:fldChar w:fldCharType="begin"/>
      </w:r>
      <w:r w:rsidR="00081E29">
        <w:instrText xml:space="preserve"> DOCPROPERTY Version </w:instrText>
      </w:r>
      <w:r w:rsidR="00081E29">
        <w:fldChar w:fldCharType="separate"/>
      </w:r>
      <w:r w:rsidR="00505D9A">
        <w:t>V5.0</w:t>
      </w:r>
      <w:r w:rsidR="00081E29">
        <w:fldChar w:fldCharType="end"/>
      </w:r>
      <w:r>
        <w:t>_CSC_CATTB_PriceAndPayments</w:t>
      </w:r>
      <w:r w:rsidR="004866A5" w:rsidRPr="004866A5">
        <w:t>.doc</w:t>
      </w:r>
      <w:r w:rsidR="004866A5">
        <w:t>x</w:t>
      </w:r>
    </w:p>
    <w:p w14:paraId="2887C043" w14:textId="66086101" w:rsidR="00CF6121" w:rsidRPr="00A34BFD" w:rsidRDefault="00A34BFD" w:rsidP="00023969">
      <w:pPr>
        <w:pStyle w:val="GuideSublistLv1-ASDEFCON"/>
      </w:pPr>
      <w:r>
        <w:t>05_</w:t>
      </w:r>
      <w:r w:rsidRPr="00A34BFD">
        <w:t>SPT</w:t>
      </w:r>
      <w:r w:rsidR="00081E29">
        <w:fldChar w:fldCharType="begin"/>
      </w:r>
      <w:r w:rsidR="00081E29">
        <w:instrText xml:space="preserve"> DOCPROPERTY Version </w:instrText>
      </w:r>
      <w:r w:rsidR="00081E29">
        <w:fldChar w:fldCharType="separate"/>
      </w:r>
      <w:r w:rsidR="00505D9A">
        <w:t>V5.0</w:t>
      </w:r>
      <w:r w:rsidR="00081E29">
        <w:fldChar w:fldCharType="end"/>
      </w:r>
      <w:r>
        <w:t>_CSC_CATT</w:t>
      </w:r>
      <w:r w:rsidR="00CF6121" w:rsidRPr="00A34BFD">
        <w:t>M</w:t>
      </w:r>
      <w:r>
        <w:t>_Glossary</w:t>
      </w:r>
      <w:r w:rsidR="004866A5" w:rsidRPr="004866A5">
        <w:t>.doc</w:t>
      </w:r>
      <w:r w:rsidR="004866A5">
        <w:t>x</w:t>
      </w:r>
    </w:p>
    <w:p w14:paraId="7AE79B7C" w14:textId="0F329AC2" w:rsidR="00CF6121" w:rsidRPr="00A34BFD" w:rsidRDefault="00A34BFD" w:rsidP="00023969">
      <w:pPr>
        <w:pStyle w:val="GuideSublistLv1-ASDEFCON"/>
      </w:pPr>
      <w:r>
        <w:t>06</w:t>
      </w:r>
      <w:r w:rsidR="004866A5">
        <w:t>_</w:t>
      </w:r>
      <w:r w:rsidR="004866A5" w:rsidRPr="004866A5">
        <w:t xml:space="preserve"> </w:t>
      </w:r>
      <w:r w:rsidR="004866A5" w:rsidRPr="00A34BFD">
        <w:t>SPT</w:t>
      </w:r>
      <w:fldSimple w:instr=" DOCPROPERTY Version ">
        <w:r w:rsidR="00505D9A">
          <w:t>V5.0</w:t>
        </w:r>
      </w:fldSimple>
      <w:r w:rsidR="004866A5">
        <w:t>_CSC_</w:t>
      </w:r>
      <w:r w:rsidR="00CF6121" w:rsidRPr="00A34BFD">
        <w:t>SOW</w:t>
      </w:r>
      <w:r w:rsidR="004866A5" w:rsidRPr="004866A5">
        <w:t>.doc</w:t>
      </w:r>
      <w:r w:rsidR="004866A5">
        <w:t>x</w:t>
      </w:r>
    </w:p>
    <w:p w14:paraId="2244D963" w14:textId="17B1E5CA" w:rsidR="00CF6121" w:rsidRPr="004866A5" w:rsidRDefault="00CF6121" w:rsidP="00023969">
      <w:pPr>
        <w:pStyle w:val="GuideSublistLv1-ASDEFCON"/>
      </w:pPr>
      <w:r w:rsidRPr="004866A5">
        <w:t>DID-ENG-CSCMS-</w:t>
      </w:r>
      <w:r w:rsidR="00081E29">
        <w:fldChar w:fldCharType="begin"/>
      </w:r>
      <w:r w:rsidR="00081E29">
        <w:instrText xml:space="preserve"> DOCPROPERTY Ve</w:instrText>
      </w:r>
      <w:r w:rsidR="00081E29">
        <w:instrText xml:space="preserve">rsion </w:instrText>
      </w:r>
      <w:r w:rsidR="00081E29">
        <w:fldChar w:fldCharType="separate"/>
      </w:r>
      <w:r w:rsidR="00505D9A">
        <w:t>V5.0</w:t>
      </w:r>
      <w:r w:rsidR="00081E29">
        <w:fldChar w:fldCharType="end"/>
      </w:r>
      <w:r w:rsidRPr="004866A5">
        <w:t>.doc</w:t>
      </w:r>
      <w:r w:rsidR="004866A5">
        <w:t>x</w:t>
      </w:r>
    </w:p>
    <w:p w14:paraId="46546FD3" w14:textId="5F95CBC4" w:rsidR="00CF6121" w:rsidRPr="004866A5" w:rsidRDefault="00CF6121" w:rsidP="00023969">
      <w:pPr>
        <w:pStyle w:val="GuideSublistLv1-ASDEFCON"/>
      </w:pPr>
      <w:r w:rsidRPr="004866A5">
        <w:t>DID-ENG-CSCSR-</w:t>
      </w:r>
      <w:r w:rsidR="00081E29">
        <w:fldChar w:fldCharType="begin"/>
      </w:r>
      <w:r w:rsidR="00081E29">
        <w:instrText xml:space="preserve"> DOCPROPERTY Version </w:instrText>
      </w:r>
      <w:r w:rsidR="00081E29">
        <w:fldChar w:fldCharType="separate"/>
      </w:r>
      <w:r w:rsidR="00505D9A">
        <w:t>V5.0</w:t>
      </w:r>
      <w:r w:rsidR="00081E29">
        <w:fldChar w:fldCharType="end"/>
      </w:r>
      <w:r w:rsidRPr="004866A5">
        <w:t>.doc</w:t>
      </w:r>
      <w:r w:rsidR="004866A5">
        <w:t>x</w:t>
      </w:r>
    </w:p>
    <w:p w14:paraId="3052C8B8" w14:textId="0C467758" w:rsidR="00CF6121" w:rsidRPr="004866A5" w:rsidRDefault="00CF6121" w:rsidP="00023969">
      <w:pPr>
        <w:pStyle w:val="GuideSublistLv1-ASDEFCON"/>
      </w:pPr>
      <w:r w:rsidRPr="004866A5">
        <w:t>DID-ENG-CSCTP-</w:t>
      </w:r>
      <w:r w:rsidR="00081E29">
        <w:fldChar w:fldCharType="begin"/>
      </w:r>
      <w:r w:rsidR="00081E29">
        <w:instrText xml:space="preserve"> DOCPROPERTY Version </w:instrText>
      </w:r>
      <w:r w:rsidR="00081E29">
        <w:fldChar w:fldCharType="separate"/>
      </w:r>
      <w:r w:rsidR="00505D9A">
        <w:t>V5.0</w:t>
      </w:r>
      <w:r w:rsidR="00081E29">
        <w:fldChar w:fldCharType="end"/>
      </w:r>
      <w:r w:rsidRPr="004866A5">
        <w:t>.doc</w:t>
      </w:r>
      <w:r w:rsidR="004866A5">
        <w:t>x</w:t>
      </w:r>
    </w:p>
    <w:p w14:paraId="72EB173A" w14:textId="77D390B3" w:rsidR="00A13BDC" w:rsidRPr="004866A5" w:rsidRDefault="00A13BDC" w:rsidP="00023969">
      <w:pPr>
        <w:pStyle w:val="GuideSublistLv1-ASDEFCON"/>
      </w:pPr>
      <w:r w:rsidRPr="004866A5">
        <w:t>DSD-ENG-CSC-</w:t>
      </w:r>
      <w:r w:rsidR="00081E29">
        <w:fldChar w:fldCharType="begin"/>
      </w:r>
      <w:r w:rsidR="00081E29">
        <w:instrText xml:space="preserve"> DOCPROPERTY Version </w:instrText>
      </w:r>
      <w:r w:rsidR="00081E29">
        <w:fldChar w:fldCharType="separate"/>
      </w:r>
      <w:r w:rsidR="00505D9A">
        <w:t>V5.0</w:t>
      </w:r>
      <w:r w:rsidR="00081E29">
        <w:fldChar w:fldCharType="end"/>
      </w:r>
      <w:r w:rsidRPr="004866A5">
        <w:t>.doc</w:t>
      </w:r>
      <w:r w:rsidR="004866A5">
        <w:t>x</w:t>
      </w:r>
    </w:p>
    <w:p w14:paraId="3FE70AD9" w14:textId="5A1E6646" w:rsidR="00C959BE" w:rsidRPr="00A641F2" w:rsidRDefault="009D5ECA" w:rsidP="00023969">
      <w:pPr>
        <w:pStyle w:val="GuideLV2Head-ASDEFCON"/>
      </w:pPr>
      <w:bookmarkStart w:id="16" w:name="_Toc423808617"/>
      <w:bookmarkStart w:id="17" w:name="_Toc519256342"/>
      <w:bookmarkStart w:id="18" w:name="_Toc519256725"/>
      <w:bookmarkStart w:id="19" w:name="_Toc522618353"/>
      <w:bookmarkStart w:id="20" w:name="_Toc84506566"/>
      <w:r w:rsidRPr="00A641F2">
        <w:t>How to use this Handbook</w:t>
      </w:r>
      <w:bookmarkEnd w:id="16"/>
      <w:bookmarkEnd w:id="17"/>
      <w:bookmarkEnd w:id="18"/>
      <w:bookmarkEnd w:id="19"/>
      <w:bookmarkEnd w:id="20"/>
    </w:p>
    <w:p w14:paraId="1D980D90" w14:textId="77777777" w:rsidR="002D6DCF" w:rsidRPr="00A641F2" w:rsidRDefault="00C959BE" w:rsidP="00023969">
      <w:pPr>
        <w:pStyle w:val="GuideText-ASDEFCON"/>
      </w:pPr>
      <w:r w:rsidRPr="00A641F2">
        <w:t xml:space="preserve">This </w:t>
      </w:r>
      <w:r w:rsidR="009B37F2" w:rsidRPr="00A641F2">
        <w:t xml:space="preserve">Handbook </w:t>
      </w:r>
      <w:r w:rsidRPr="00A641F2">
        <w:t xml:space="preserve">is designed to </w:t>
      </w:r>
      <w:r w:rsidR="00501633" w:rsidRPr="00A641F2">
        <w:t xml:space="preserve">provide an understanding of the CSC clauses and to </w:t>
      </w:r>
      <w:r w:rsidRPr="00A641F2">
        <w:t xml:space="preserve">assist drafters </w:t>
      </w:r>
      <w:r w:rsidR="00501633" w:rsidRPr="00A641F2">
        <w:t xml:space="preserve">to </w:t>
      </w:r>
      <w:r w:rsidRPr="00A641F2">
        <w:t>customis</w:t>
      </w:r>
      <w:r w:rsidR="00501633" w:rsidRPr="00A641F2">
        <w:t>e</w:t>
      </w:r>
      <w:r w:rsidRPr="00A641F2">
        <w:t xml:space="preserve"> the </w:t>
      </w:r>
      <w:r w:rsidRPr="00A641F2">
        <w:rPr>
          <w:i/>
        </w:rPr>
        <w:t>ASDEFCON (Support)</w:t>
      </w:r>
      <w:r w:rsidRPr="00A641F2">
        <w:t xml:space="preserve"> template to </w:t>
      </w:r>
      <w:r w:rsidR="00BB2364" w:rsidRPr="00A641F2">
        <w:t>incorporate a CSC</w:t>
      </w:r>
      <w:r w:rsidR="002D6DCF" w:rsidRPr="00A641F2">
        <w:t xml:space="preserve">.  The </w:t>
      </w:r>
      <w:r w:rsidR="002D6DCF" w:rsidRPr="00A641F2">
        <w:rPr>
          <w:i/>
        </w:rPr>
        <w:t>CSC Module</w:t>
      </w:r>
      <w:r w:rsidR="002D6DCF" w:rsidRPr="00A641F2">
        <w:t xml:space="preserve"> comprises this handbook and the following changes to </w:t>
      </w:r>
      <w:r w:rsidR="002D6DCF" w:rsidRPr="00A641F2">
        <w:rPr>
          <w:i/>
        </w:rPr>
        <w:t>ASDEFCON (Support)</w:t>
      </w:r>
      <w:r w:rsidR="002D6DCF" w:rsidRPr="00A641F2">
        <w:t xml:space="preserve"> template:</w:t>
      </w:r>
    </w:p>
    <w:p w14:paraId="6D4D01E9" w14:textId="429E4E9F" w:rsidR="002D6DCF" w:rsidRPr="00A641F2" w:rsidRDefault="002D6DCF" w:rsidP="00023969">
      <w:pPr>
        <w:pStyle w:val="GuideSublistLv1-ASDEFCON"/>
        <w:numPr>
          <w:ilvl w:val="0"/>
          <w:numId w:val="41"/>
        </w:numPr>
        <w:tabs>
          <w:tab w:val="num" w:pos="360"/>
        </w:tabs>
      </w:pPr>
      <w:r w:rsidRPr="00A641F2">
        <w:t>conditions of contract (COC) changes add a new clause </w:t>
      </w:r>
      <w:r w:rsidR="00F567C3">
        <w:t>15</w:t>
      </w:r>
      <w:r w:rsidRPr="00A641F2">
        <w:t>, to specify the composition of and man</w:t>
      </w:r>
      <w:r w:rsidR="008E769F" w:rsidRPr="00A641F2">
        <w:t>a</w:t>
      </w:r>
      <w:r w:rsidRPr="00A641F2">
        <w:t>ge changes to the CSC, and modifies extant clauses of key relevance to implementing a CSC;</w:t>
      </w:r>
    </w:p>
    <w:p w14:paraId="3E4F351D" w14:textId="564611C4" w:rsidR="002D6DCF" w:rsidRPr="00A641F2" w:rsidRDefault="002D6DCF" w:rsidP="00023969">
      <w:pPr>
        <w:pStyle w:val="GuideSublistLv1-ASDEFCON"/>
      </w:pPr>
      <w:r w:rsidRPr="00A641F2">
        <w:t>Attachment B is</w:t>
      </w:r>
      <w:r w:rsidR="00295C0E">
        <w:t xml:space="preserve"> extended to include a new A</w:t>
      </w:r>
      <w:r w:rsidRPr="00A641F2">
        <w:t>nnex</w:t>
      </w:r>
      <w:r w:rsidR="00211EE3">
        <w:t xml:space="preserve"> </w:t>
      </w:r>
      <w:r w:rsidR="00295C0E">
        <w:t>G</w:t>
      </w:r>
      <w:r w:rsidRPr="00A641F2">
        <w:t xml:space="preserve"> for </w:t>
      </w:r>
      <w:r w:rsidR="00295C0E">
        <w:t xml:space="preserve">CSC </w:t>
      </w:r>
      <w:r w:rsidRPr="00A641F2">
        <w:t>pricing;</w:t>
      </w:r>
    </w:p>
    <w:p w14:paraId="7FB581E8" w14:textId="77777777" w:rsidR="002D6DCF" w:rsidRPr="00A641F2" w:rsidRDefault="002D6DCF" w:rsidP="00023969">
      <w:pPr>
        <w:pStyle w:val="GuideSublistLv1-ASDEFCON"/>
      </w:pPr>
      <w:r w:rsidRPr="00A641F2">
        <w:t>Attachment M, the Glossary, is updated to include CSC relevant definitions;</w:t>
      </w:r>
    </w:p>
    <w:p w14:paraId="7145A274" w14:textId="77777777" w:rsidR="002D6DCF" w:rsidRPr="00A641F2" w:rsidRDefault="002D6DCF" w:rsidP="00023969">
      <w:pPr>
        <w:pStyle w:val="GuideSublistLv1-ASDEFCON"/>
      </w:pPr>
      <w:r w:rsidRPr="00A641F2">
        <w:t>Statement of Work (SOW) changes incorporate a new Detailed Service Description (DSD) and associated Data Item Descriptions (DIDs) to specify the work-related management framework for the CSC, including modifying DID-ENG-CEMP for the overall management of the CSC; and</w:t>
      </w:r>
    </w:p>
    <w:p w14:paraId="1776420A" w14:textId="77777777" w:rsidR="002D6DCF" w:rsidRPr="00A641F2" w:rsidRDefault="002D6DCF" w:rsidP="00023969">
      <w:pPr>
        <w:pStyle w:val="GuideSublistLv1-ASDEFCON"/>
      </w:pPr>
      <w:r w:rsidRPr="00A641F2">
        <w:t>conditions of tender (COT) changes incorporate the applicable Tender Data Requirements (TDRs) for the CSC.</w:t>
      </w:r>
    </w:p>
    <w:p w14:paraId="2ED043E3" w14:textId="77777777" w:rsidR="00C959BE" w:rsidRPr="00A641F2" w:rsidRDefault="00C959BE">
      <w:pPr>
        <w:pStyle w:val="GuideText-ASDEFCON"/>
      </w:pPr>
      <w:r w:rsidRPr="00A641F2">
        <w:t xml:space="preserve">This </w:t>
      </w:r>
      <w:r w:rsidR="009B37F2" w:rsidRPr="00A641F2">
        <w:t xml:space="preserve">Handbook </w:t>
      </w:r>
      <w:r w:rsidRPr="00A641F2">
        <w:t xml:space="preserve">should be read together with the </w:t>
      </w:r>
      <w:r w:rsidRPr="00A641F2">
        <w:rPr>
          <w:i/>
        </w:rPr>
        <w:t>ASDEFCON (Support)</w:t>
      </w:r>
      <w:r w:rsidRPr="00A641F2">
        <w:t xml:space="preserve"> template</w:t>
      </w:r>
      <w:r w:rsidR="00BB2364" w:rsidRPr="00A641F2">
        <w:t xml:space="preserve"> and </w:t>
      </w:r>
      <w:r w:rsidR="008E769F" w:rsidRPr="00A641F2">
        <w:t xml:space="preserve">the </w:t>
      </w:r>
      <w:r w:rsidR="00BB2364" w:rsidRPr="00A641F2">
        <w:t>SOW Tailoring Guide (SOWTG)</w:t>
      </w:r>
      <w:r w:rsidRPr="00A641F2">
        <w:t>.  Drafters may also wish to consult the Defence Procurement Policy Manual (</w:t>
      </w:r>
      <w:r w:rsidRPr="00A641F2">
        <w:rPr>
          <w:bCs/>
        </w:rPr>
        <w:t>DPPM</w:t>
      </w:r>
      <w:r w:rsidRPr="00A641F2">
        <w:t>)</w:t>
      </w:r>
      <w:r w:rsidR="00071D2B">
        <w:t xml:space="preserve"> or the Complex Procurement Guide</w:t>
      </w:r>
      <w:r w:rsidRPr="00A641F2">
        <w:t>.</w:t>
      </w:r>
    </w:p>
    <w:p w14:paraId="06C93588" w14:textId="77777777" w:rsidR="00C959BE" w:rsidRPr="00A641F2" w:rsidRDefault="00CE52F9">
      <w:pPr>
        <w:pStyle w:val="GuideText-ASDEFCON"/>
      </w:pPr>
      <w:r w:rsidRPr="00A641F2">
        <w:t>T</w:t>
      </w:r>
      <w:r w:rsidR="00D66434" w:rsidRPr="00A641F2">
        <w:t xml:space="preserve">here are a number of </w:t>
      </w:r>
      <w:r w:rsidRPr="00A641F2">
        <w:t xml:space="preserve">other </w:t>
      </w:r>
      <w:r w:rsidR="00D66434" w:rsidRPr="00A641F2">
        <w:t xml:space="preserve">considerations </w:t>
      </w:r>
      <w:r w:rsidRPr="00A641F2">
        <w:t xml:space="preserve">that should be taken into account </w:t>
      </w:r>
      <w:r w:rsidR="00D66434" w:rsidRPr="00A641F2">
        <w:t xml:space="preserve">when </w:t>
      </w:r>
      <w:r w:rsidR="004D7E0E" w:rsidRPr="00A641F2">
        <w:t>assessing</w:t>
      </w:r>
      <w:r w:rsidR="00D66434" w:rsidRPr="00A641F2">
        <w:t xml:space="preserve"> whether or no</w:t>
      </w:r>
      <w:r w:rsidRPr="00A641F2">
        <w:t>t to use this</w:t>
      </w:r>
      <w:r w:rsidR="004C22ED" w:rsidRPr="00A641F2">
        <w:t xml:space="preserve"> </w:t>
      </w:r>
      <w:r w:rsidRPr="00A641F2">
        <w:rPr>
          <w:i/>
        </w:rPr>
        <w:t xml:space="preserve">CSC </w:t>
      </w:r>
      <w:r w:rsidR="00C42715" w:rsidRPr="00A641F2">
        <w:rPr>
          <w:i/>
        </w:rPr>
        <w:t>Module</w:t>
      </w:r>
      <w:r w:rsidR="00D66434" w:rsidRPr="00A641F2">
        <w:t xml:space="preserve">.  Firstly, </w:t>
      </w:r>
      <w:r w:rsidR="00163A71" w:rsidRPr="00A641F2">
        <w:t>th</w:t>
      </w:r>
      <w:r w:rsidR="00D66434" w:rsidRPr="00A641F2">
        <w:t>e</w:t>
      </w:r>
      <w:r w:rsidR="00440615" w:rsidRPr="00A641F2">
        <w:t xml:space="preserve"> approach </w:t>
      </w:r>
      <w:r w:rsidRPr="00A641F2">
        <w:t xml:space="preserve">embedded in the </w:t>
      </w:r>
      <w:r w:rsidR="008E769F" w:rsidRPr="00A641F2">
        <w:rPr>
          <w:i/>
        </w:rPr>
        <w:t>CSC Module</w:t>
      </w:r>
      <w:r w:rsidR="008E769F" w:rsidRPr="00A641F2">
        <w:t xml:space="preserve"> </w:t>
      </w:r>
      <w:r w:rsidR="004C22ED" w:rsidRPr="00A641F2">
        <w:t>can be</w:t>
      </w:r>
      <w:r w:rsidR="00440615" w:rsidRPr="00A641F2">
        <w:t xml:space="preserve"> resource-intensive for the Commonwealth</w:t>
      </w:r>
      <w:r w:rsidRPr="00A641F2">
        <w:t xml:space="preserve"> (although</w:t>
      </w:r>
      <w:r w:rsidR="004C22ED" w:rsidRPr="00A641F2">
        <w:t>, m</w:t>
      </w:r>
      <w:r w:rsidR="00440615" w:rsidRPr="00A641F2">
        <w:t xml:space="preserve">anaging </w:t>
      </w:r>
      <w:r w:rsidR="004C22ED" w:rsidRPr="00A641F2">
        <w:t xml:space="preserve">emergent </w:t>
      </w:r>
      <w:r w:rsidR="00440615" w:rsidRPr="00A641F2">
        <w:t xml:space="preserve">engineering work under a </w:t>
      </w:r>
      <w:r w:rsidR="00163A71" w:rsidRPr="00A641F2">
        <w:t>c</w:t>
      </w:r>
      <w:r w:rsidR="00440615" w:rsidRPr="00A641F2">
        <w:t xml:space="preserve">ontract </w:t>
      </w:r>
      <w:r w:rsidR="00296D16" w:rsidRPr="00A641F2">
        <w:t xml:space="preserve">(eg, </w:t>
      </w:r>
      <w:r w:rsidR="0050491C" w:rsidRPr="00A641F2">
        <w:t>as S&amp;Q Services</w:t>
      </w:r>
      <w:r w:rsidR="00296D16" w:rsidRPr="00A641F2">
        <w:t>)</w:t>
      </w:r>
      <w:r w:rsidR="0050491C" w:rsidRPr="00A641F2">
        <w:t xml:space="preserve"> </w:t>
      </w:r>
      <w:r w:rsidR="00440615" w:rsidRPr="00A641F2">
        <w:t>is often resource-intensive</w:t>
      </w:r>
      <w:r w:rsidR="00296D16" w:rsidRPr="00A641F2">
        <w:t>,</w:t>
      </w:r>
      <w:r w:rsidR="00163A71" w:rsidRPr="00A641F2">
        <w:t xml:space="preserve"> and it is really the degree of intensiveness that must be assessed here</w:t>
      </w:r>
      <w:r w:rsidRPr="00A641F2">
        <w:t>)</w:t>
      </w:r>
      <w:r w:rsidR="00163A71" w:rsidRPr="00A641F2">
        <w:t>.</w:t>
      </w:r>
      <w:r w:rsidR="003A19D3" w:rsidRPr="00A641F2">
        <w:t xml:space="preserve"> </w:t>
      </w:r>
      <w:r w:rsidR="00163A71" w:rsidRPr="00A641F2">
        <w:t xml:space="preserve"> </w:t>
      </w:r>
      <w:r w:rsidR="00A12082" w:rsidRPr="00A641F2">
        <w:t>Equally, the approach defined for the CSC would not be appropriate if it w</w:t>
      </w:r>
      <w:r w:rsidRPr="00A641F2">
        <w:t>ere</w:t>
      </w:r>
      <w:r w:rsidR="00A12082" w:rsidRPr="00A641F2">
        <w:t xml:space="preserve"> envisaged that there would only be a small amount of </w:t>
      </w:r>
      <w:r w:rsidR="004C22ED" w:rsidRPr="00A641F2">
        <w:t xml:space="preserve">emergent </w:t>
      </w:r>
      <w:r w:rsidR="00A12082" w:rsidRPr="00A641F2">
        <w:t>engineering work</w:t>
      </w:r>
      <w:r w:rsidR="009B37F2" w:rsidRPr="00A641F2">
        <w:t xml:space="preserve"> (eg, for less than five people)</w:t>
      </w:r>
      <w:r w:rsidR="00A12082" w:rsidRPr="00A641F2">
        <w:t xml:space="preserve">.  </w:t>
      </w:r>
      <w:r w:rsidR="00D66434" w:rsidRPr="00A641F2">
        <w:t xml:space="preserve">Finally, the clauses are premised on the Commonwealth being able to </w:t>
      </w:r>
      <w:r w:rsidR="008E769F" w:rsidRPr="00A641F2">
        <w:t xml:space="preserve">identify </w:t>
      </w:r>
      <w:r w:rsidR="00D66434" w:rsidRPr="00A641F2">
        <w:t xml:space="preserve">sufficient </w:t>
      </w:r>
      <w:r w:rsidR="008E769F" w:rsidRPr="00A641F2">
        <w:t xml:space="preserve">task </w:t>
      </w:r>
      <w:r w:rsidR="00D66434" w:rsidRPr="00A641F2">
        <w:t xml:space="preserve">work </w:t>
      </w:r>
      <w:r w:rsidR="008E769F" w:rsidRPr="00A641F2">
        <w:t xml:space="preserve">in order </w:t>
      </w:r>
      <w:r w:rsidR="00D66434" w:rsidRPr="00A641F2">
        <w:t xml:space="preserve">to keep the CSC </w:t>
      </w:r>
      <w:r w:rsidR="00C42715" w:rsidRPr="00A641F2">
        <w:t xml:space="preserve">team </w:t>
      </w:r>
      <w:r w:rsidR="004D7E0E" w:rsidRPr="00A641F2">
        <w:t xml:space="preserve">fully </w:t>
      </w:r>
      <w:r w:rsidR="00D66434" w:rsidRPr="00A641F2">
        <w:t>occupied</w:t>
      </w:r>
      <w:r w:rsidR="004D7E0E" w:rsidRPr="00A641F2">
        <w:t xml:space="preserve">.  As such, it may be appropriate to consider starting with a small CSC and then building it up over time, if required, as </w:t>
      </w:r>
      <w:r w:rsidR="008E769F" w:rsidRPr="00A641F2">
        <w:t xml:space="preserve">a more accurate understanding of the </w:t>
      </w:r>
      <w:r w:rsidR="004C22ED" w:rsidRPr="00A641F2">
        <w:t xml:space="preserve">amount of work </w:t>
      </w:r>
      <w:r w:rsidR="008E769F" w:rsidRPr="00A641F2">
        <w:t>is established</w:t>
      </w:r>
      <w:r w:rsidR="004D7E0E" w:rsidRPr="00A641F2">
        <w:t>.</w:t>
      </w:r>
      <w:r w:rsidR="00D66434" w:rsidRPr="00A641F2">
        <w:t xml:space="preserve"> </w:t>
      </w:r>
      <w:r w:rsidR="004D7E0E" w:rsidRPr="00A641F2">
        <w:t xml:space="preserve"> </w:t>
      </w:r>
      <w:r w:rsidR="00163A71" w:rsidRPr="00A641F2">
        <w:t xml:space="preserve">In </w:t>
      </w:r>
      <w:r w:rsidR="004C22ED" w:rsidRPr="00A641F2">
        <w:t>all of these</w:t>
      </w:r>
      <w:r w:rsidR="00163A71" w:rsidRPr="00A641F2">
        <w:t xml:space="preserve"> regard</w:t>
      </w:r>
      <w:r w:rsidR="004C22ED" w:rsidRPr="00A641F2">
        <w:t>s</w:t>
      </w:r>
      <w:r w:rsidR="00163A71" w:rsidRPr="00A641F2">
        <w:t>, d</w:t>
      </w:r>
      <w:r w:rsidR="003A19D3" w:rsidRPr="00A641F2">
        <w:t xml:space="preserve">rafters will have to </w:t>
      </w:r>
      <w:r w:rsidR="00174FD1" w:rsidRPr="00A641F2">
        <w:t>determine</w:t>
      </w:r>
      <w:r w:rsidR="003A19D3" w:rsidRPr="00A641F2">
        <w:t xml:space="preserve"> </w:t>
      </w:r>
      <w:r w:rsidR="00174FD1" w:rsidRPr="00A641F2">
        <w:t xml:space="preserve">the </w:t>
      </w:r>
      <w:r w:rsidR="003A19D3" w:rsidRPr="00A641F2">
        <w:t xml:space="preserve">best </w:t>
      </w:r>
      <w:r w:rsidR="00174FD1" w:rsidRPr="00A641F2">
        <w:t xml:space="preserve">solution </w:t>
      </w:r>
      <w:r w:rsidR="003A19D3" w:rsidRPr="00A641F2">
        <w:t xml:space="preserve">for their </w:t>
      </w:r>
      <w:r w:rsidR="008E769F" w:rsidRPr="00A641F2">
        <w:t>Contract</w:t>
      </w:r>
      <w:r w:rsidR="003A19D3" w:rsidRPr="00A641F2">
        <w:t>.</w:t>
      </w:r>
    </w:p>
    <w:p w14:paraId="7017629E" w14:textId="11E980DD" w:rsidR="00F164EA" w:rsidRPr="00A641F2" w:rsidRDefault="00F164EA">
      <w:pPr>
        <w:pStyle w:val="GuideLV2Head-ASDEFCON"/>
      </w:pPr>
      <w:bookmarkStart w:id="21" w:name="_Toc423808618"/>
      <w:bookmarkStart w:id="22" w:name="_Toc519256343"/>
      <w:bookmarkStart w:id="23" w:name="_Toc519256726"/>
      <w:bookmarkStart w:id="24" w:name="_Toc522618354"/>
      <w:bookmarkStart w:id="25" w:name="_Toc84506567"/>
      <w:r w:rsidRPr="00A641F2">
        <w:t>Template Versions</w:t>
      </w:r>
      <w:r w:rsidR="00DC25EA" w:rsidRPr="00A641F2">
        <w:t xml:space="preserve"> and Help</w:t>
      </w:r>
      <w:bookmarkEnd w:id="21"/>
      <w:bookmarkEnd w:id="22"/>
      <w:bookmarkEnd w:id="23"/>
      <w:bookmarkEnd w:id="24"/>
      <w:bookmarkEnd w:id="25"/>
    </w:p>
    <w:p w14:paraId="4C2F3ACA" w14:textId="77777777" w:rsidR="00F164EA" w:rsidRPr="00A641F2" w:rsidRDefault="00F164EA">
      <w:pPr>
        <w:pStyle w:val="GuideText-ASDEFCON"/>
      </w:pPr>
      <w:r w:rsidRPr="00A641F2">
        <w:t xml:space="preserve">The version of the </w:t>
      </w:r>
      <w:r w:rsidRPr="00A641F2">
        <w:rPr>
          <w:i/>
        </w:rPr>
        <w:t>CSC Module</w:t>
      </w:r>
      <w:r w:rsidRPr="00A641F2">
        <w:t xml:space="preserve">, supported by this </w:t>
      </w:r>
      <w:r w:rsidR="009B37F2" w:rsidRPr="00A641F2">
        <w:t>Handbook</w:t>
      </w:r>
      <w:r w:rsidRPr="00A641F2">
        <w:t>, is intended for use with:</w:t>
      </w:r>
    </w:p>
    <w:p w14:paraId="4AEF26BB" w14:textId="52870DF5" w:rsidR="00F164EA" w:rsidRPr="00A07A2C" w:rsidRDefault="00F164EA" w:rsidP="00023969">
      <w:pPr>
        <w:pStyle w:val="GuideText-ASDEFCON"/>
        <w:ind w:firstLine="248"/>
      </w:pPr>
      <w:r w:rsidRPr="00A07A2C">
        <w:t xml:space="preserve">ASDEFCON (Support) </w:t>
      </w:r>
      <w:fldSimple w:instr=" DOCPROPERTY Version ">
        <w:r w:rsidR="00505D9A">
          <w:t>V5.0</w:t>
        </w:r>
      </w:fldSimple>
    </w:p>
    <w:p w14:paraId="53ADBB7C" w14:textId="77777777" w:rsidR="00DC25EA" w:rsidRPr="00A641F2" w:rsidRDefault="00501633" w:rsidP="00023969">
      <w:pPr>
        <w:pStyle w:val="GuideText-ASDEFCON"/>
      </w:pPr>
      <w:r w:rsidRPr="00A641F2">
        <w:t>A</w:t>
      </w:r>
      <w:r w:rsidR="00F164EA" w:rsidRPr="00A641F2">
        <w:t xml:space="preserve">dvice </w:t>
      </w:r>
      <w:r w:rsidRPr="00A641F2">
        <w:t xml:space="preserve">regarding the </w:t>
      </w:r>
      <w:r w:rsidRPr="00A641F2">
        <w:rPr>
          <w:i/>
        </w:rPr>
        <w:t>CSC Module</w:t>
      </w:r>
      <w:r w:rsidRPr="00A641F2">
        <w:t xml:space="preserve"> </w:t>
      </w:r>
      <w:r w:rsidR="00F164EA" w:rsidRPr="00A641F2">
        <w:t>may</w:t>
      </w:r>
      <w:r w:rsidR="00DC25EA" w:rsidRPr="00A641F2">
        <w:t xml:space="preserve"> be sought from:</w:t>
      </w:r>
    </w:p>
    <w:p w14:paraId="4AFE5EEF" w14:textId="6E95AB65" w:rsidR="009B37F2" w:rsidRPr="00A641F2" w:rsidRDefault="009B37F2" w:rsidP="00023969">
      <w:pPr>
        <w:pStyle w:val="GuideBullets-ASDEFCON"/>
      </w:pPr>
      <w:r w:rsidRPr="00A641F2">
        <w:t xml:space="preserve">your </w:t>
      </w:r>
      <w:r w:rsidR="00C351BC">
        <w:t xml:space="preserve">Materiel </w:t>
      </w:r>
      <w:r w:rsidRPr="00A641F2">
        <w:t>Procurement Branch (</w:t>
      </w:r>
      <w:r w:rsidR="00C351BC">
        <w:t>MPB</w:t>
      </w:r>
      <w:r w:rsidRPr="00A641F2">
        <w:t xml:space="preserve">) representative; </w:t>
      </w:r>
    </w:p>
    <w:p w14:paraId="1B8CDD54" w14:textId="77777777" w:rsidR="00DC25EA" w:rsidRPr="00A641F2" w:rsidRDefault="004D4113" w:rsidP="00023969">
      <w:pPr>
        <w:pStyle w:val="GuideBullets-ASDEFCON"/>
      </w:pPr>
      <w:r w:rsidRPr="00A641F2">
        <w:t>ASDEFCON and Contracting</w:t>
      </w:r>
      <w:r w:rsidR="00174FD1" w:rsidRPr="00A641F2">
        <w:t xml:space="preserve"> Initiatives</w:t>
      </w:r>
      <w:r w:rsidR="00FB7142" w:rsidRPr="00A641F2">
        <w:t xml:space="preserve"> (ACI)</w:t>
      </w:r>
      <w:r w:rsidR="00F164EA" w:rsidRPr="00A641F2">
        <w:t xml:space="preserve"> for </w:t>
      </w:r>
      <w:r w:rsidR="00FB7142" w:rsidRPr="00A641F2">
        <w:t xml:space="preserve">changes to </w:t>
      </w:r>
      <w:r w:rsidR="00F164EA" w:rsidRPr="00A641F2">
        <w:t xml:space="preserve">the COT, COC and </w:t>
      </w:r>
      <w:r w:rsidR="002D6DCF" w:rsidRPr="00A641F2">
        <w:t>Attachments</w:t>
      </w:r>
      <w:r w:rsidR="00FB7142" w:rsidRPr="00A641F2">
        <w:t xml:space="preserve"> other than the SOW</w:t>
      </w:r>
      <w:r w:rsidR="009B37F2" w:rsidRPr="00A641F2">
        <w:t>;</w:t>
      </w:r>
      <w:r w:rsidR="00F164EA" w:rsidRPr="00A641F2">
        <w:t xml:space="preserve"> and </w:t>
      </w:r>
    </w:p>
    <w:p w14:paraId="0613A594" w14:textId="0122947A" w:rsidR="00F164EA" w:rsidRPr="00A641F2" w:rsidRDefault="00C351BC">
      <w:pPr>
        <w:pStyle w:val="GuideBullets-ASDEFCON"/>
      </w:pPr>
      <w:r>
        <w:t xml:space="preserve">ASDEFCON Statement of Work (SOW) Policy </w:t>
      </w:r>
      <w:r w:rsidR="00071D2B">
        <w:t>Directorate</w:t>
      </w:r>
      <w:r w:rsidR="00FB7142" w:rsidRPr="00A641F2">
        <w:t>,</w:t>
      </w:r>
      <w:r w:rsidR="00F164EA" w:rsidRPr="00A641F2">
        <w:t xml:space="preserve"> for </w:t>
      </w:r>
      <w:r w:rsidR="00FB7142" w:rsidRPr="00A641F2">
        <w:t xml:space="preserve">changes to </w:t>
      </w:r>
      <w:r w:rsidR="00F164EA" w:rsidRPr="00A641F2">
        <w:t>the SOW</w:t>
      </w:r>
      <w:r w:rsidR="002D6DCF" w:rsidRPr="00A641F2">
        <w:t>, DSDs</w:t>
      </w:r>
      <w:r w:rsidR="00F164EA" w:rsidRPr="00A641F2">
        <w:t xml:space="preserve"> and </w:t>
      </w:r>
      <w:r w:rsidR="002D6DCF" w:rsidRPr="00A641F2">
        <w:t>DID</w:t>
      </w:r>
      <w:r w:rsidR="00F164EA" w:rsidRPr="00A641F2">
        <w:t>s.</w:t>
      </w:r>
    </w:p>
    <w:p w14:paraId="3AC3CBE0" w14:textId="77777777" w:rsidR="00F164EA" w:rsidRPr="00A641F2" w:rsidRDefault="00F164EA">
      <w:pPr>
        <w:pStyle w:val="GuideText-ASDEFCON"/>
      </w:pPr>
      <w:r w:rsidRPr="00A641F2">
        <w:t>E-mail contacts:</w:t>
      </w:r>
    </w:p>
    <w:p w14:paraId="04711131" w14:textId="39370382" w:rsidR="00F164EA" w:rsidRPr="00A641F2" w:rsidRDefault="00174FD1">
      <w:pPr>
        <w:pStyle w:val="GuideText-ASDEFCON"/>
      </w:pPr>
      <w:r w:rsidRPr="00A641F2">
        <w:t>ASDEFCON and Contracting Initiatives</w:t>
      </w:r>
      <w:r w:rsidR="00F164EA" w:rsidRPr="00A641F2">
        <w:t xml:space="preserve">: </w:t>
      </w:r>
      <w:hyperlink r:id="rId8" w:history="1">
        <w:r w:rsidRPr="00A641F2">
          <w:rPr>
            <w:rStyle w:val="Hyperlink"/>
            <w:iCs/>
          </w:rPr>
          <w:t>procurement.ASDEFCON@defence.gov.au</w:t>
        </w:r>
      </w:hyperlink>
      <w:r w:rsidR="00F666E8" w:rsidRPr="00A641F2">
        <w:t xml:space="preserve"> </w:t>
      </w:r>
    </w:p>
    <w:p w14:paraId="00AD3CDA" w14:textId="0E8E5524" w:rsidR="00F164EA" w:rsidRPr="00A641F2" w:rsidRDefault="00C351BC">
      <w:pPr>
        <w:pStyle w:val="GuideText-ASDEFCON"/>
        <w:rPr>
          <w:iCs/>
        </w:rPr>
      </w:pPr>
      <w:r>
        <w:t>ASDEFCON SOW Policy</w:t>
      </w:r>
      <w:r w:rsidR="00F164EA" w:rsidRPr="00A641F2">
        <w:rPr>
          <w:iCs/>
        </w:rPr>
        <w:t xml:space="preserve">: </w:t>
      </w:r>
      <w:hyperlink r:id="rId9" w:history="1">
        <w:r w:rsidR="00501633" w:rsidRPr="00A641F2">
          <w:rPr>
            <w:rStyle w:val="Hyperlink"/>
            <w:iCs/>
          </w:rPr>
          <w:t>asdefconsow.support@defence.gov.au</w:t>
        </w:r>
      </w:hyperlink>
      <w:r w:rsidR="00F666E8" w:rsidRPr="00A641F2">
        <w:rPr>
          <w:iCs/>
        </w:rPr>
        <w:t xml:space="preserve"> </w:t>
      </w:r>
    </w:p>
    <w:p w14:paraId="11042594" w14:textId="01ABAFB2" w:rsidR="009A4DB6" w:rsidRPr="00A641F2" w:rsidRDefault="009A4DB6">
      <w:pPr>
        <w:pStyle w:val="GuideLV2Head-ASDEFCON"/>
      </w:pPr>
      <w:bookmarkStart w:id="26" w:name="_Toc282616380"/>
      <w:bookmarkStart w:id="27" w:name="_Toc423808619"/>
      <w:bookmarkStart w:id="28" w:name="_Toc519256344"/>
      <w:bookmarkStart w:id="29" w:name="_Toc519256727"/>
      <w:bookmarkStart w:id="30" w:name="_Toc522618355"/>
      <w:bookmarkStart w:id="31" w:name="_Toc84506568"/>
      <w:r w:rsidRPr="00A641F2">
        <w:t>Referenced Documents</w:t>
      </w:r>
      <w:bookmarkEnd w:id="26"/>
      <w:bookmarkEnd w:id="27"/>
      <w:bookmarkEnd w:id="28"/>
      <w:bookmarkEnd w:id="29"/>
      <w:bookmarkEnd w:id="30"/>
      <w:bookmarkEnd w:id="31"/>
    </w:p>
    <w:p w14:paraId="672262F3" w14:textId="77777777" w:rsidR="009A4DB6" w:rsidRPr="00A641F2" w:rsidRDefault="009A4DB6">
      <w:pPr>
        <w:pStyle w:val="GuideText-ASDEFCON"/>
      </w:pPr>
      <w:r w:rsidRPr="00A641F2">
        <w:t>The following table lists the documents referenced or used to complement this handbook: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48"/>
      </w:tblGrid>
      <w:tr w:rsidR="009A4DB6" w:rsidRPr="00A641F2" w14:paraId="59E7122E" w14:textId="77777777" w:rsidTr="00C9718E">
        <w:trPr>
          <w:tblHeader/>
        </w:trPr>
        <w:tc>
          <w:tcPr>
            <w:tcW w:w="3114" w:type="dxa"/>
            <w:shd w:val="clear" w:color="auto" w:fill="D9D9D9"/>
          </w:tcPr>
          <w:p w14:paraId="2D3AF4DC" w14:textId="77777777" w:rsidR="009A4DB6" w:rsidRPr="00A641F2" w:rsidRDefault="009A4DB6">
            <w:pPr>
              <w:pStyle w:val="Table10ptHeading-ASDEFCON"/>
            </w:pPr>
            <w:r w:rsidRPr="00A641F2">
              <w:t>Reference</w:t>
            </w:r>
          </w:p>
        </w:tc>
        <w:tc>
          <w:tcPr>
            <w:tcW w:w="5948" w:type="dxa"/>
            <w:shd w:val="clear" w:color="auto" w:fill="D9D9D9"/>
          </w:tcPr>
          <w:p w14:paraId="49D05F5B" w14:textId="77777777" w:rsidR="009A4DB6" w:rsidRPr="00A641F2" w:rsidRDefault="009A4DB6">
            <w:pPr>
              <w:pStyle w:val="Table10ptHeading-ASDEFCON"/>
            </w:pPr>
            <w:r w:rsidRPr="00A641F2">
              <w:t>Description</w:t>
            </w:r>
          </w:p>
        </w:tc>
      </w:tr>
      <w:tr w:rsidR="009A4DB6" w:rsidRPr="00A641F2" w14:paraId="66EA5C91" w14:textId="77777777" w:rsidTr="00C9718E">
        <w:tc>
          <w:tcPr>
            <w:tcW w:w="3114" w:type="dxa"/>
          </w:tcPr>
          <w:p w14:paraId="10B14CAD" w14:textId="77777777" w:rsidR="009A4DB6" w:rsidRPr="00A07A2C" w:rsidRDefault="009A4DB6" w:rsidP="00023969">
            <w:pPr>
              <w:pStyle w:val="Table10ptText-ASDEFCON"/>
            </w:pPr>
            <w:r w:rsidRPr="00A07A2C">
              <w:t>ASDEFCON (Support) template</w:t>
            </w:r>
          </w:p>
        </w:tc>
        <w:tc>
          <w:tcPr>
            <w:tcW w:w="5948" w:type="dxa"/>
          </w:tcPr>
          <w:p w14:paraId="7CD733C7" w14:textId="6607878E" w:rsidR="009A4DB6" w:rsidRPr="00A07A2C" w:rsidRDefault="009A4DB6" w:rsidP="00023969">
            <w:pPr>
              <w:pStyle w:val="Table10ptText-ASDEFCON"/>
            </w:pPr>
            <w:r w:rsidRPr="00A07A2C">
              <w:t>ASDEFCON (Support) template, including covering pages, COT, COC, SOW, and associated attachments and annexes</w:t>
            </w:r>
            <w:r w:rsidR="000C2616">
              <w:t>.</w:t>
            </w:r>
          </w:p>
        </w:tc>
      </w:tr>
    </w:tbl>
    <w:p w14:paraId="56CBF682" w14:textId="77777777" w:rsidR="00F666E8" w:rsidRPr="00A641F2" w:rsidRDefault="00F666E8" w:rsidP="00023969">
      <w:pPr>
        <w:pStyle w:val="ASDEFCONNormal"/>
      </w:pPr>
      <w:bookmarkStart w:id="32" w:name="_Toc199048167"/>
      <w:bookmarkStart w:id="33" w:name="_Toc251594214"/>
    </w:p>
    <w:p w14:paraId="69BCCABE" w14:textId="24E11078" w:rsidR="009A4DB6" w:rsidRPr="00A641F2" w:rsidRDefault="009A4DB6" w:rsidP="00023969">
      <w:pPr>
        <w:pStyle w:val="GuideLV2Head-ASDEFCON"/>
      </w:pPr>
      <w:bookmarkStart w:id="34" w:name="_Toc282616381"/>
      <w:bookmarkStart w:id="35" w:name="_Toc423808620"/>
      <w:bookmarkStart w:id="36" w:name="_Toc519256345"/>
      <w:bookmarkStart w:id="37" w:name="_Toc519256728"/>
      <w:bookmarkStart w:id="38" w:name="_Toc522618356"/>
      <w:bookmarkStart w:id="39" w:name="_Toc84506569"/>
      <w:r w:rsidRPr="00A641F2">
        <w:t>Definitions, Acronyms and Abbreviations</w:t>
      </w:r>
      <w:bookmarkEnd w:id="32"/>
      <w:bookmarkEnd w:id="33"/>
      <w:bookmarkEnd w:id="34"/>
      <w:bookmarkEnd w:id="35"/>
      <w:bookmarkEnd w:id="36"/>
      <w:bookmarkEnd w:id="37"/>
      <w:bookmarkEnd w:id="38"/>
      <w:bookmarkEnd w:id="39"/>
    </w:p>
    <w:p w14:paraId="0ABABBFC" w14:textId="77777777" w:rsidR="009A4DB6" w:rsidRPr="00A641F2" w:rsidRDefault="009A4DB6" w:rsidP="00023969">
      <w:pPr>
        <w:pStyle w:val="GuideText-ASDEFCON"/>
      </w:pPr>
      <w:r w:rsidRPr="00A641F2">
        <w:t>The definitions of terms, acronyms and abbreviation used in this handbook are defined in:</w:t>
      </w:r>
    </w:p>
    <w:p w14:paraId="38CA67AC" w14:textId="77777777" w:rsidR="009A4DB6" w:rsidRPr="00A641F2" w:rsidRDefault="009A4DB6" w:rsidP="00023969">
      <w:pPr>
        <w:pStyle w:val="GuideSublistLv1-ASDEFCON"/>
        <w:numPr>
          <w:ilvl w:val="0"/>
          <w:numId w:val="34"/>
        </w:numPr>
      </w:pPr>
      <w:r w:rsidRPr="00A07A2C">
        <w:rPr>
          <w:i/>
        </w:rPr>
        <w:t>ASDEFCON (Support)</w:t>
      </w:r>
      <w:r w:rsidRPr="00A641F2">
        <w:t xml:space="preserve"> Attachment M, Glossary; and</w:t>
      </w:r>
    </w:p>
    <w:p w14:paraId="47F80302" w14:textId="2557C352" w:rsidR="009A4DB6" w:rsidRPr="00A641F2" w:rsidRDefault="009A4DB6" w:rsidP="00023969">
      <w:pPr>
        <w:pStyle w:val="GuideSublistLv1-ASDEFCON"/>
      </w:pPr>
      <w:r w:rsidRPr="00A641F2">
        <w:rPr>
          <w:i/>
        </w:rPr>
        <w:t>CSC Module</w:t>
      </w:r>
      <w:r w:rsidRPr="00A641F2">
        <w:t xml:space="preserve"> </w:t>
      </w:r>
      <w:r w:rsidR="007066DD" w:rsidRPr="00A641F2">
        <w:t xml:space="preserve">glossary </w:t>
      </w:r>
      <w:r w:rsidRPr="00A641F2">
        <w:t xml:space="preserve">updates </w:t>
      </w:r>
      <w:r w:rsidR="007066DD" w:rsidRPr="00A641F2">
        <w:t>(</w:t>
      </w:r>
      <w:r w:rsidR="00071D2B">
        <w:t>‘</w:t>
      </w:r>
      <w:r w:rsidR="007066DD" w:rsidRPr="00A641F2">
        <w:t>Draft Attachment M for CSC</w:t>
      </w:r>
      <w:r w:rsidR="00071D2B">
        <w:t>’</w:t>
      </w:r>
      <w:r w:rsidR="007066DD" w:rsidRPr="00A641F2">
        <w:t>)</w:t>
      </w:r>
      <w:r w:rsidRPr="00A641F2">
        <w:t>.</w:t>
      </w:r>
    </w:p>
    <w:p w14:paraId="10982F2F" w14:textId="2BB39DC1" w:rsidR="00FF6F45" w:rsidRPr="00A641F2" w:rsidRDefault="009A4DB6">
      <w:pPr>
        <w:pStyle w:val="GuideLV1Head-ASDEFCON"/>
      </w:pPr>
      <w:r w:rsidRPr="00A641F2">
        <w:br w:type="page"/>
      </w:r>
      <w:bookmarkStart w:id="40" w:name="_Toc423808621"/>
      <w:bookmarkStart w:id="41" w:name="_Toc519256346"/>
      <w:bookmarkStart w:id="42" w:name="_Toc519256729"/>
      <w:bookmarkStart w:id="43" w:name="_Toc522618357"/>
      <w:bookmarkStart w:id="44" w:name="_Toc84506570"/>
      <w:r w:rsidR="00D56B52" w:rsidRPr="00A641F2">
        <w:t>GENERAL GUIDANCE FOR THE CSC PROVISIONS</w:t>
      </w:r>
      <w:bookmarkEnd w:id="40"/>
      <w:bookmarkEnd w:id="41"/>
      <w:bookmarkEnd w:id="42"/>
      <w:bookmarkEnd w:id="43"/>
      <w:bookmarkEnd w:id="44"/>
    </w:p>
    <w:p w14:paraId="3956CE2E" w14:textId="77777777" w:rsidR="00FF2661" w:rsidRPr="00A641F2" w:rsidRDefault="00FF2661">
      <w:pPr>
        <w:pStyle w:val="GuideText-ASDEFCON"/>
      </w:pPr>
      <w:r w:rsidRPr="00A641F2">
        <w:t xml:space="preserve">This initial guidance section provides an overview of the CSC and introduces a number of the key concepts associated with its use.  This guidance should be read in conjunction with the guidance </w:t>
      </w:r>
      <w:r w:rsidR="00174FD1" w:rsidRPr="00A641F2">
        <w:t>included at the start of draft</w:t>
      </w:r>
      <w:r w:rsidR="0012418C" w:rsidRPr="00A641F2">
        <w:t xml:space="preserve"> DSD-ENG-CSC</w:t>
      </w:r>
      <w:r w:rsidRPr="00A641F2">
        <w:t>.</w:t>
      </w:r>
    </w:p>
    <w:p w14:paraId="523085B7" w14:textId="3EE93C18" w:rsidR="00FF2661" w:rsidRPr="00A641F2" w:rsidRDefault="00FF2661">
      <w:pPr>
        <w:pStyle w:val="GuideLV2Head-ASDEFCON"/>
      </w:pPr>
      <w:bookmarkStart w:id="45" w:name="_Toc423808622"/>
      <w:bookmarkStart w:id="46" w:name="_Toc519256347"/>
      <w:bookmarkStart w:id="47" w:name="_Toc519256730"/>
      <w:bookmarkStart w:id="48" w:name="_Toc522618358"/>
      <w:bookmarkStart w:id="49" w:name="_Toc84506571"/>
      <w:r w:rsidRPr="00A641F2">
        <w:t>Overview of the CSC</w:t>
      </w:r>
      <w:bookmarkEnd w:id="45"/>
      <w:bookmarkEnd w:id="46"/>
      <w:bookmarkEnd w:id="47"/>
      <w:bookmarkEnd w:id="48"/>
      <w:bookmarkEnd w:id="49"/>
    </w:p>
    <w:p w14:paraId="2A869081" w14:textId="77777777" w:rsidR="00FF2661" w:rsidRPr="00A641F2" w:rsidRDefault="00FF2661">
      <w:pPr>
        <w:pStyle w:val="GuideText-ASDEFCON"/>
      </w:pPr>
      <w:r w:rsidRPr="00A641F2">
        <w:t>The purpose of the CSC is to provide</w:t>
      </w:r>
      <w:r w:rsidR="00FB7142" w:rsidRPr="00A641F2">
        <w:t>, on</w:t>
      </w:r>
      <w:r w:rsidRPr="00A641F2">
        <w:t xml:space="preserve"> an on-going </w:t>
      </w:r>
      <w:r w:rsidR="00FB7142" w:rsidRPr="00A641F2">
        <w:t xml:space="preserve">basis, a </w:t>
      </w:r>
      <w:r w:rsidRPr="00A641F2">
        <w:t xml:space="preserve">pool of </w:t>
      </w:r>
      <w:r w:rsidR="00F949D2" w:rsidRPr="00A641F2">
        <w:t xml:space="preserve">personnel with specific knowledge and areas of </w:t>
      </w:r>
      <w:r w:rsidRPr="00A641F2">
        <w:t xml:space="preserve">expertise </w:t>
      </w:r>
      <w:r w:rsidR="00F949D2" w:rsidRPr="00A641F2">
        <w:t xml:space="preserve">to be made </w:t>
      </w:r>
      <w:r w:rsidR="009B37F2" w:rsidRPr="00A641F2">
        <w:t>availa</w:t>
      </w:r>
      <w:r w:rsidR="00CF6121" w:rsidRPr="00A641F2">
        <w:t>ble to the Commonwe</w:t>
      </w:r>
      <w:r w:rsidR="009B37F2" w:rsidRPr="00A641F2">
        <w:t>alth</w:t>
      </w:r>
      <w:r w:rsidR="00F949D2" w:rsidRPr="00A641F2">
        <w:t xml:space="preserve"> for tasking</w:t>
      </w:r>
      <w:r w:rsidR="00CF6121" w:rsidRPr="00A641F2">
        <w:t xml:space="preserve">.  </w:t>
      </w:r>
      <w:r w:rsidR="00F666E8" w:rsidRPr="00A641F2">
        <w:t>Although t</w:t>
      </w:r>
      <w:r w:rsidRPr="00A641F2">
        <w:t xml:space="preserve">he </w:t>
      </w:r>
      <w:r w:rsidRPr="00A641F2">
        <w:rPr>
          <w:i/>
        </w:rPr>
        <w:t xml:space="preserve">CSC </w:t>
      </w:r>
      <w:r w:rsidR="00F666E8" w:rsidRPr="00A641F2">
        <w:rPr>
          <w:i/>
        </w:rPr>
        <w:t>Module</w:t>
      </w:r>
      <w:r w:rsidR="00F666E8" w:rsidRPr="00A641F2">
        <w:t xml:space="preserve"> was developed primarily for</w:t>
      </w:r>
      <w:r w:rsidRPr="00A641F2">
        <w:t xml:space="preserve"> </w:t>
      </w:r>
      <w:r w:rsidR="00CF6121" w:rsidRPr="00A641F2">
        <w:t xml:space="preserve">specialist </w:t>
      </w:r>
      <w:r w:rsidRPr="00A641F2">
        <w:t>engineering and related activities</w:t>
      </w:r>
      <w:r w:rsidR="00F666E8" w:rsidRPr="00A641F2">
        <w:t xml:space="preserve">, and </w:t>
      </w:r>
      <w:r w:rsidR="00F63482" w:rsidRPr="00A641F2">
        <w:t xml:space="preserve">is </w:t>
      </w:r>
      <w:r w:rsidR="00F666E8" w:rsidRPr="00A641F2">
        <w:t>included under the engineering clauses of the SOW,</w:t>
      </w:r>
      <w:r w:rsidRPr="00A641F2">
        <w:t xml:space="preserve"> it </w:t>
      </w:r>
      <w:r w:rsidR="00F666E8" w:rsidRPr="00A641F2">
        <w:t xml:space="preserve">can be used </w:t>
      </w:r>
      <w:r w:rsidR="00F63482" w:rsidRPr="00A641F2">
        <w:t>for other Services</w:t>
      </w:r>
      <w:r w:rsidRPr="00A641F2">
        <w:t xml:space="preserve"> where:</w:t>
      </w:r>
    </w:p>
    <w:p w14:paraId="0762623C" w14:textId="77777777" w:rsidR="00FF2661" w:rsidRPr="00A641F2" w:rsidRDefault="00FF2661" w:rsidP="00023969">
      <w:pPr>
        <w:pStyle w:val="GuideSublistLv1-ASDEFCON"/>
        <w:numPr>
          <w:ilvl w:val="0"/>
          <w:numId w:val="35"/>
        </w:numPr>
      </w:pPr>
      <w:r w:rsidRPr="00A641F2">
        <w:t xml:space="preserve">expertise can be difficult to obtain and </w:t>
      </w:r>
      <w:r w:rsidR="00CF6121" w:rsidRPr="00A641F2">
        <w:t>retain</w:t>
      </w:r>
      <w:r w:rsidRPr="00A641F2">
        <w:t>; and</w:t>
      </w:r>
    </w:p>
    <w:p w14:paraId="645F4234" w14:textId="77777777" w:rsidR="00FF2661" w:rsidRPr="00A641F2" w:rsidRDefault="00FF2661" w:rsidP="00023969">
      <w:pPr>
        <w:pStyle w:val="GuideSublistLv1-ASDEFCON"/>
      </w:pPr>
      <w:r w:rsidRPr="00A641F2">
        <w:t>the scope of work can be difficult to define upfront.</w:t>
      </w:r>
    </w:p>
    <w:p w14:paraId="357BBDC0" w14:textId="77777777" w:rsidR="00FF2661" w:rsidRPr="00A641F2" w:rsidRDefault="00FF2661" w:rsidP="00023969">
      <w:pPr>
        <w:pStyle w:val="Note-ASDEFCON"/>
      </w:pPr>
      <w:r w:rsidRPr="00A641F2">
        <w:t>Note:</w:t>
      </w:r>
      <w:r w:rsidR="00071D2B">
        <w:t xml:space="preserve"> </w:t>
      </w:r>
      <w:r w:rsidRPr="00A641F2">
        <w:t xml:space="preserve"> The CSC cannot be used to undertake Recurring Services</w:t>
      </w:r>
      <w:r w:rsidR="004D4113" w:rsidRPr="00A641F2">
        <w:rPr>
          <w:rStyle w:val="FootnoteReference"/>
        </w:rPr>
        <w:footnoteReference w:id="1"/>
      </w:r>
      <w:r w:rsidRPr="00A641F2">
        <w:t>!</w:t>
      </w:r>
    </w:p>
    <w:p w14:paraId="672B4810" w14:textId="77777777" w:rsidR="00FF2661" w:rsidRPr="00A641F2" w:rsidRDefault="00FF2661" w:rsidP="00023969">
      <w:pPr>
        <w:pStyle w:val="GuideText-ASDEFCON"/>
      </w:pPr>
      <w:r w:rsidRPr="00A641F2">
        <w:t xml:space="preserve">If a CSC were not to be implemented, the required work would need to be undertaken through a series of S&amp;Q Services (eg, for various engineering tasks, such as </w:t>
      </w:r>
      <w:r w:rsidR="00F949D2" w:rsidRPr="00A641F2">
        <w:t xml:space="preserve">performing investigations and </w:t>
      </w:r>
      <w:r w:rsidRPr="00A641F2">
        <w:t xml:space="preserve">developing modifications), which is likely to incur higher </w:t>
      </w:r>
      <w:r w:rsidR="0030759F" w:rsidRPr="00A641F2">
        <w:t xml:space="preserve">overheads and </w:t>
      </w:r>
      <w:r w:rsidRPr="00A641F2">
        <w:t xml:space="preserve">labour charges and reduced skills continuity due to the stop/start nature of S&amp;Q Services.  Additionally, there are no ‘schedule’ guarantees </w:t>
      </w:r>
      <w:r w:rsidR="00174FD1" w:rsidRPr="00A641F2">
        <w:t xml:space="preserve">for the </w:t>
      </w:r>
      <w:r w:rsidR="006575F6" w:rsidRPr="00A641F2">
        <w:t>start and provision</w:t>
      </w:r>
      <w:r w:rsidR="00174FD1" w:rsidRPr="00A641F2">
        <w:t xml:space="preserve"> of </w:t>
      </w:r>
      <w:r w:rsidRPr="00A641F2">
        <w:t>S&amp;Q Services because the Contractor is unlikely to have appropriate expertise</w:t>
      </w:r>
      <w:r w:rsidR="006575F6" w:rsidRPr="00A641F2">
        <w:t xml:space="preserve"> and numbers of staff</w:t>
      </w:r>
      <w:r w:rsidRPr="00A641F2">
        <w:t xml:space="preserve"> available</w:t>
      </w:r>
      <w:r w:rsidR="0050491C" w:rsidRPr="00A641F2">
        <w:t xml:space="preserve"> </w:t>
      </w:r>
      <w:r w:rsidR="00021CC8" w:rsidRPr="00A641F2">
        <w:t>and standing by</w:t>
      </w:r>
      <w:r w:rsidR="006575F6" w:rsidRPr="00A641F2">
        <w:t>,</w:t>
      </w:r>
      <w:r w:rsidRPr="00A641F2">
        <w:t xml:space="preserve"> </w:t>
      </w:r>
      <w:r w:rsidR="006575F6" w:rsidRPr="00A641F2">
        <w:t>waiting</w:t>
      </w:r>
      <w:r w:rsidRPr="00A641F2">
        <w:t xml:space="preserve"> to undertake </w:t>
      </w:r>
      <w:r w:rsidR="006575F6" w:rsidRPr="00A641F2">
        <w:t xml:space="preserve">any </w:t>
      </w:r>
      <w:r w:rsidR="004D3F10" w:rsidRPr="00A641F2">
        <w:t>newly identified</w:t>
      </w:r>
      <w:r w:rsidRPr="00A641F2">
        <w:t xml:space="preserve"> work</w:t>
      </w:r>
      <w:r w:rsidR="0030759F" w:rsidRPr="00A641F2">
        <w:t xml:space="preserve"> – thus the start of work may be delayed by recruiting and</w:t>
      </w:r>
      <w:r w:rsidR="00FB7142" w:rsidRPr="00A641F2">
        <w:t>/or</w:t>
      </w:r>
      <w:r w:rsidR="0030759F" w:rsidRPr="00A641F2">
        <w:t xml:space="preserve"> subcontracting activities</w:t>
      </w:r>
      <w:r w:rsidRPr="00A641F2">
        <w:t xml:space="preserve">.  When this expertise is obtained, however, there is </w:t>
      </w:r>
      <w:r w:rsidR="004D3F10" w:rsidRPr="00A641F2">
        <w:t>the</w:t>
      </w:r>
      <w:r w:rsidRPr="00A641F2">
        <w:t xml:space="preserve"> likelihood that </w:t>
      </w:r>
      <w:r w:rsidR="00FB7142" w:rsidRPr="00A641F2">
        <w:t>those personnel</w:t>
      </w:r>
      <w:r w:rsidRPr="00A641F2">
        <w:t xml:space="preserve"> will take time to ‘come up to speed’</w:t>
      </w:r>
      <w:r w:rsidR="0030759F" w:rsidRPr="00A641F2">
        <w:t xml:space="preserve"> with </w:t>
      </w:r>
      <w:r w:rsidR="004D3F10" w:rsidRPr="00A641F2">
        <w:t xml:space="preserve">specific </w:t>
      </w:r>
      <w:r w:rsidR="0030759F" w:rsidRPr="00A641F2">
        <w:t xml:space="preserve">knowledge of the </w:t>
      </w:r>
      <w:r w:rsidR="004D3F10" w:rsidRPr="00A641F2">
        <w:t>Materiel System</w:t>
      </w:r>
      <w:r w:rsidRPr="00A641F2">
        <w:t xml:space="preserve">, which </w:t>
      </w:r>
      <w:r w:rsidR="004D3F10" w:rsidRPr="00A641F2">
        <w:t xml:space="preserve">further </w:t>
      </w:r>
      <w:r w:rsidRPr="00A641F2">
        <w:t>impacts upon the schedule</w:t>
      </w:r>
      <w:r w:rsidR="00FB7142" w:rsidRPr="00A641F2">
        <w:t xml:space="preserve"> and may be less productive than using personnel familiar with the system</w:t>
      </w:r>
      <w:r w:rsidRPr="00A641F2">
        <w:t xml:space="preserve">.  The complexity of the Products </w:t>
      </w:r>
      <w:r w:rsidR="0030759F" w:rsidRPr="00A641F2">
        <w:t>B</w:t>
      </w:r>
      <w:r w:rsidRPr="00A641F2">
        <w:t xml:space="preserve">eing </w:t>
      </w:r>
      <w:r w:rsidR="0030759F" w:rsidRPr="00A641F2">
        <w:t>S</w:t>
      </w:r>
      <w:r w:rsidRPr="00A641F2">
        <w:t xml:space="preserve">upported and the scope and pace of </w:t>
      </w:r>
      <w:r w:rsidR="004D3F10" w:rsidRPr="00A641F2">
        <w:t xml:space="preserve">expected </w:t>
      </w:r>
      <w:r w:rsidRPr="00A641F2">
        <w:t>change over the life of the Products are two factors that affect whether or not a CSC should be established</w:t>
      </w:r>
      <w:r w:rsidR="0030759F" w:rsidRPr="00A641F2">
        <w:t xml:space="preserve"> </w:t>
      </w:r>
      <w:r w:rsidR="004D3F10" w:rsidRPr="00A641F2">
        <w:t>for</w:t>
      </w:r>
      <w:r w:rsidR="0030759F" w:rsidRPr="00A641F2">
        <w:t xml:space="preserve"> Engineering Services</w:t>
      </w:r>
      <w:r w:rsidR="006575F6" w:rsidRPr="00A641F2">
        <w:t xml:space="preserve"> and/or other work that cannot be accurately forecast</w:t>
      </w:r>
      <w:r w:rsidR="00FB7142" w:rsidRPr="00A641F2">
        <w:t xml:space="preserve"> prior to the Effective Date</w:t>
      </w:r>
      <w:r w:rsidRPr="00A641F2">
        <w:t>.</w:t>
      </w:r>
    </w:p>
    <w:p w14:paraId="02787B70" w14:textId="77777777" w:rsidR="00FF2661" w:rsidRPr="00A641F2" w:rsidRDefault="00FF2661">
      <w:pPr>
        <w:pStyle w:val="GuideText-ASDEFCON"/>
      </w:pPr>
      <w:r w:rsidRPr="00A641F2">
        <w:t xml:space="preserve">The CSC provisions, </w:t>
      </w:r>
      <w:r w:rsidR="008F7DAB" w:rsidRPr="00A641F2">
        <w:t>established</w:t>
      </w:r>
      <w:r w:rsidRPr="00A641F2">
        <w:t xml:space="preserve"> through the COC and DSD</w:t>
      </w:r>
      <w:r w:rsidR="00D43F03" w:rsidRPr="00A641F2">
        <w:t>-ENG-CSC</w:t>
      </w:r>
      <w:r w:rsidRPr="00A641F2">
        <w:t xml:space="preserve">, </w:t>
      </w:r>
      <w:r w:rsidR="008F7DAB" w:rsidRPr="00A641F2">
        <w:t>creates</w:t>
      </w:r>
      <w:r w:rsidRPr="00A641F2">
        <w:t xml:space="preserve"> a separate </w:t>
      </w:r>
      <w:r w:rsidR="008F7DAB" w:rsidRPr="00A641F2">
        <w:t xml:space="preserve">portion </w:t>
      </w:r>
      <w:r w:rsidRPr="00A641F2">
        <w:t>of the Contract</w:t>
      </w:r>
      <w:r w:rsidR="008F7DAB" w:rsidRPr="00A641F2">
        <w:t xml:space="preserve"> in</w:t>
      </w:r>
      <w:r w:rsidRPr="00A641F2">
        <w:t xml:space="preserve"> which </w:t>
      </w:r>
      <w:r w:rsidR="008F7DAB" w:rsidRPr="00A641F2">
        <w:t xml:space="preserve">the outcomes are </w:t>
      </w:r>
      <w:r w:rsidRPr="00A641F2">
        <w:t xml:space="preserve">regularly assessed </w:t>
      </w:r>
      <w:r w:rsidR="00220F47" w:rsidRPr="00A641F2">
        <w:t xml:space="preserve">and reviewed </w:t>
      </w:r>
      <w:r w:rsidRPr="00A641F2">
        <w:t>(in accordance with the COC</w:t>
      </w:r>
      <w:r w:rsidR="0030759F" w:rsidRPr="00A641F2">
        <w:t xml:space="preserve">, as </w:t>
      </w:r>
      <w:r w:rsidR="008F7DAB" w:rsidRPr="00A641F2">
        <w:t xml:space="preserve">tailored </w:t>
      </w:r>
      <w:r w:rsidR="0030759F" w:rsidRPr="00A641F2">
        <w:t>by the drafter</w:t>
      </w:r>
      <w:r w:rsidRPr="00A641F2">
        <w:t>) to confirm that the CSC continue</w:t>
      </w:r>
      <w:r w:rsidR="008F7DAB" w:rsidRPr="00A641F2">
        <w:t>s</w:t>
      </w:r>
      <w:r w:rsidRPr="00A641F2">
        <w:t xml:space="preserve"> to meet Commonwealth requirements.  The provisions </w:t>
      </w:r>
      <w:r w:rsidR="008F7DAB" w:rsidRPr="00A641F2">
        <w:t>function such</w:t>
      </w:r>
      <w:r w:rsidRPr="00A641F2">
        <w:t xml:space="preserve"> that if the CSC were no longer required, </w:t>
      </w:r>
      <w:r w:rsidR="00220F47" w:rsidRPr="00A641F2">
        <w:t xml:space="preserve">the CSC could be removed by setting the number of personnel to zero, and </w:t>
      </w:r>
      <w:r w:rsidRPr="00A641F2">
        <w:t>the remainder of the Contract would continue to operate effectively</w:t>
      </w:r>
      <w:r w:rsidR="0030759F" w:rsidRPr="00A641F2">
        <w:t xml:space="preserve"> with work </w:t>
      </w:r>
      <w:r w:rsidR="00D967ED" w:rsidRPr="00A641F2">
        <w:t xml:space="preserve">being </w:t>
      </w:r>
      <w:r w:rsidR="0030759F" w:rsidRPr="00A641F2">
        <w:t>undertaken as S&amp;Q Services</w:t>
      </w:r>
      <w:r w:rsidRPr="00A641F2">
        <w:t>.  In this regard, the CSC provisions establish:</w:t>
      </w:r>
    </w:p>
    <w:p w14:paraId="63242132" w14:textId="6BAF8AE5" w:rsidR="00FF2661" w:rsidRPr="00A641F2" w:rsidRDefault="00FF2661" w:rsidP="00023969">
      <w:pPr>
        <w:pStyle w:val="GuideSublistLv1-ASDEFCON"/>
        <w:numPr>
          <w:ilvl w:val="0"/>
          <w:numId w:val="36"/>
        </w:numPr>
      </w:pPr>
      <w:r w:rsidRPr="00A641F2">
        <w:t xml:space="preserve">a </w:t>
      </w:r>
      <w:r w:rsidR="00D93637" w:rsidRPr="00A641F2">
        <w:t xml:space="preserve">new </w:t>
      </w:r>
      <w:r w:rsidR="00295C0E">
        <w:t xml:space="preserve">clause 9 </w:t>
      </w:r>
      <w:r w:rsidR="00F949D2" w:rsidRPr="00A641F2">
        <w:t xml:space="preserve">to </w:t>
      </w:r>
      <w:r w:rsidR="006575F6" w:rsidRPr="00A641F2">
        <w:t>Attachment B (</w:t>
      </w:r>
      <w:r w:rsidRPr="00A641F2">
        <w:t>the Price and Payment Schedule (P&amp;PS)</w:t>
      </w:r>
      <w:r w:rsidR="006575F6" w:rsidRPr="00A641F2">
        <w:t>)</w:t>
      </w:r>
      <w:r w:rsidR="00295C0E">
        <w:t xml:space="preserve"> and new Annex G (from the ASDEFCON (Support) Pricing Workbook (SPTPW))</w:t>
      </w:r>
      <w:r w:rsidR="00D93637" w:rsidRPr="00A641F2">
        <w:t>,</w:t>
      </w:r>
      <w:r w:rsidRPr="00A641F2">
        <w:t xml:space="preserve"> </w:t>
      </w:r>
      <w:r w:rsidR="00D93637" w:rsidRPr="00A641F2">
        <w:t>to identify</w:t>
      </w:r>
      <w:r w:rsidRPr="00A641F2">
        <w:t xml:space="preserve"> CSC</w:t>
      </w:r>
      <w:r w:rsidR="00220F47" w:rsidRPr="00A641F2">
        <w:t xml:space="preserve"> Personnel, their</w:t>
      </w:r>
      <w:r w:rsidRPr="00A641F2">
        <w:t xml:space="preserve"> rates </w:t>
      </w:r>
      <w:r w:rsidR="00D93637" w:rsidRPr="00A641F2">
        <w:t xml:space="preserve">and </w:t>
      </w:r>
      <w:r w:rsidR="00F949D2" w:rsidRPr="00A641F2">
        <w:t xml:space="preserve">the </w:t>
      </w:r>
      <w:r w:rsidR="00D93637" w:rsidRPr="00A641F2">
        <w:t>monthly CSC Fee</w:t>
      </w:r>
      <w:r w:rsidRPr="00A641F2">
        <w:t>;</w:t>
      </w:r>
    </w:p>
    <w:p w14:paraId="7C1A6D21" w14:textId="77777777" w:rsidR="00FF2661" w:rsidRPr="00A641F2" w:rsidRDefault="00FF2661" w:rsidP="00023969">
      <w:pPr>
        <w:pStyle w:val="GuideSublistLv1-ASDEFCON"/>
      </w:pPr>
      <w:r w:rsidRPr="00A641F2">
        <w:t>a performance</w:t>
      </w:r>
      <w:r w:rsidR="008F7DAB" w:rsidRPr="00A641F2">
        <w:t xml:space="preserve"> </w:t>
      </w:r>
      <w:r w:rsidRPr="00A641F2">
        <w:t xml:space="preserve">management </w:t>
      </w:r>
      <w:r w:rsidR="008F7DAB" w:rsidRPr="00A641F2">
        <w:t>framework</w:t>
      </w:r>
      <w:r w:rsidR="00D93637" w:rsidRPr="00A641F2">
        <w:t xml:space="preserve"> for the CSC</w:t>
      </w:r>
      <w:r w:rsidR="00220F47" w:rsidRPr="00A641F2">
        <w:t xml:space="preserve">, including </w:t>
      </w:r>
      <w:r w:rsidR="00CD51DE" w:rsidRPr="00A641F2">
        <w:t xml:space="preserve">planning, </w:t>
      </w:r>
      <w:r w:rsidR="00220F47" w:rsidRPr="00A641F2">
        <w:t>reporting and periodic review</w:t>
      </w:r>
      <w:r w:rsidR="00D93637" w:rsidRPr="00A641F2">
        <w:t xml:space="preserve">, which is independent </w:t>
      </w:r>
      <w:r w:rsidR="00220F47" w:rsidRPr="00A641F2">
        <w:t>of</w:t>
      </w:r>
      <w:r w:rsidR="00D93637" w:rsidRPr="00A641F2">
        <w:t xml:space="preserve"> the PPBC framework</w:t>
      </w:r>
      <w:r w:rsidR="00F949D2" w:rsidRPr="00A641F2">
        <w:t xml:space="preserve"> of the Contract</w:t>
      </w:r>
      <w:r w:rsidRPr="00A641F2">
        <w:t>; and</w:t>
      </w:r>
    </w:p>
    <w:p w14:paraId="1CD98666" w14:textId="77777777" w:rsidR="00FF2661" w:rsidRPr="00A641F2" w:rsidRDefault="00FF2661" w:rsidP="00023969">
      <w:pPr>
        <w:pStyle w:val="GuideSublistLv1-ASDEFCON"/>
      </w:pPr>
      <w:r w:rsidRPr="00A641F2">
        <w:t xml:space="preserve">a separate </w:t>
      </w:r>
      <w:r w:rsidR="0030759F" w:rsidRPr="00A641F2">
        <w:t xml:space="preserve">work </w:t>
      </w:r>
      <w:r w:rsidR="00D93637" w:rsidRPr="00A641F2">
        <w:t xml:space="preserve">/ task </w:t>
      </w:r>
      <w:r w:rsidRPr="00A641F2">
        <w:t xml:space="preserve">management framework structured around </w:t>
      </w:r>
      <w:r w:rsidR="00D93637" w:rsidRPr="00A641F2">
        <w:t xml:space="preserve">the use of </w:t>
      </w:r>
      <w:r w:rsidRPr="00A641F2">
        <w:t>CSC Task Plans</w:t>
      </w:r>
      <w:r w:rsidR="00D93637" w:rsidRPr="00A641F2">
        <w:t xml:space="preserve"> and the CSC Master Schedule</w:t>
      </w:r>
      <w:r w:rsidRPr="00A641F2">
        <w:t>.</w:t>
      </w:r>
    </w:p>
    <w:p w14:paraId="6005B0D3" w14:textId="77777777" w:rsidR="00FF2661" w:rsidRPr="00A641F2" w:rsidRDefault="00FF2661" w:rsidP="00023969">
      <w:pPr>
        <w:pStyle w:val="GuideText-ASDEFCON"/>
      </w:pPr>
      <w:r w:rsidRPr="00A641F2">
        <w:t xml:space="preserve">Under the CSC provisions, the Commonwealth </w:t>
      </w:r>
      <w:r w:rsidR="00B67AE9" w:rsidRPr="00A641F2">
        <w:t>pays</w:t>
      </w:r>
      <w:r w:rsidRPr="00A641F2">
        <w:t xml:space="preserve"> for a pool of Contractor </w:t>
      </w:r>
      <w:r w:rsidR="00F949D2" w:rsidRPr="00A641F2">
        <w:t xml:space="preserve">and/or Subcontractor </w:t>
      </w:r>
      <w:r w:rsidR="008F7DAB" w:rsidRPr="00A641F2">
        <w:t>personnel</w:t>
      </w:r>
      <w:r w:rsidRPr="00A641F2">
        <w:t xml:space="preserve"> </w:t>
      </w:r>
      <w:r w:rsidR="00B67AE9" w:rsidRPr="00A641F2">
        <w:t xml:space="preserve">whom </w:t>
      </w:r>
      <w:r w:rsidRPr="00A641F2">
        <w:t xml:space="preserve">are </w:t>
      </w:r>
      <w:r w:rsidR="00B67AE9" w:rsidRPr="00A641F2">
        <w:t xml:space="preserve">available </w:t>
      </w:r>
      <w:r w:rsidRPr="00A641F2">
        <w:t>to undertake those (and only those) tasks authorised by the Commonwealth Representative through the Approval of CSC Task Plans.  If the Commonwealth does not provide sufficient work to</w:t>
      </w:r>
      <w:r w:rsidR="00F949D2" w:rsidRPr="00A641F2">
        <w:t xml:space="preserve"> fully</w:t>
      </w:r>
      <w:r w:rsidRPr="00A641F2">
        <w:t xml:space="preserve"> employ all of the CSC Personnel, then the Commonwealth is still required to pay for those Personnel.  In other words, a CSC should only be established when there is sufficient Ad Hoc work to warrant one, and the size and composition of the CSC should be established commensurate with the envisaged scope and nature of the required work.</w:t>
      </w:r>
    </w:p>
    <w:p w14:paraId="555D6A37" w14:textId="4870677B" w:rsidR="00FF2661" w:rsidRPr="00A641F2" w:rsidRDefault="00FF2661">
      <w:pPr>
        <w:pStyle w:val="GuideText-ASDEFCON"/>
      </w:pPr>
      <w:r w:rsidRPr="00A641F2">
        <w:t xml:space="preserve">CSC Personnel do not need to be full-time members of the CSC.  </w:t>
      </w:r>
      <w:r w:rsidR="00F949D2" w:rsidRPr="00A641F2">
        <w:t>The number</w:t>
      </w:r>
      <w:r w:rsidR="00CD51DE" w:rsidRPr="00A641F2">
        <w:t>, labour categories</w:t>
      </w:r>
      <w:r w:rsidR="00F949D2" w:rsidRPr="00A641F2">
        <w:t xml:space="preserve"> and </w:t>
      </w:r>
      <w:r w:rsidR="00CD51DE" w:rsidRPr="00A641F2">
        <w:t>skill levels,</w:t>
      </w:r>
      <w:r w:rsidR="00F949D2" w:rsidRPr="00A641F2">
        <w:t xml:space="preserve"> </w:t>
      </w:r>
      <w:r w:rsidR="00CD51DE" w:rsidRPr="00A641F2">
        <w:t xml:space="preserve">and the hours of Service to be provided by each category and skill level, </w:t>
      </w:r>
      <w:r w:rsidR="00F949D2" w:rsidRPr="00A641F2">
        <w:t xml:space="preserve">are defined in Annex </w:t>
      </w:r>
      <w:r w:rsidR="00295C0E">
        <w:t>G</w:t>
      </w:r>
      <w:r w:rsidR="00F949D2" w:rsidRPr="00A641F2">
        <w:t xml:space="preserve"> to Attachment B</w:t>
      </w:r>
      <w:r w:rsidR="00C2296B" w:rsidRPr="00A641F2">
        <w:t xml:space="preserve">.  </w:t>
      </w:r>
      <w:r w:rsidR="00950AC2" w:rsidRPr="00A641F2">
        <w:t>The numbers of CSC Personnel are listed as</w:t>
      </w:r>
      <w:r w:rsidR="00C2296B" w:rsidRPr="00A641F2">
        <w:t xml:space="preserve"> </w:t>
      </w:r>
      <w:r w:rsidRPr="00A641F2">
        <w:t xml:space="preserve">‘Full Time Equivalent (FTE)’ </w:t>
      </w:r>
      <w:r w:rsidR="00C2296B" w:rsidRPr="00A641F2">
        <w:t>personnel</w:t>
      </w:r>
      <w:r w:rsidR="00950AC2" w:rsidRPr="00A641F2">
        <w:t xml:space="preserve"> (measured in CSC Service Hours)</w:t>
      </w:r>
      <w:r w:rsidRPr="00A641F2">
        <w:t>, which</w:t>
      </w:r>
      <w:r w:rsidR="00950AC2" w:rsidRPr="00A641F2">
        <w:t xml:space="preserve"> may allow, for example,</w:t>
      </w:r>
      <w:r w:rsidRPr="00A641F2">
        <w:t xml:space="preserve"> two members of the CSC</w:t>
      </w:r>
      <w:r w:rsidR="00C2296B" w:rsidRPr="00A641F2">
        <w:t xml:space="preserve"> share a position</w:t>
      </w:r>
      <w:r w:rsidRPr="00A641F2">
        <w:t xml:space="preserve"> on a 50:50 basis</w:t>
      </w:r>
      <w:r w:rsidR="00021CC8" w:rsidRPr="00A641F2">
        <w:t xml:space="preserve">, or </w:t>
      </w:r>
      <w:r w:rsidR="00950AC2" w:rsidRPr="00A641F2">
        <w:t>0.5 of an FTE person to enable access to an</w:t>
      </w:r>
      <w:r w:rsidR="00021CC8" w:rsidRPr="00A641F2">
        <w:t xml:space="preserve"> ‘expert in the field’ on a part-time basis </w:t>
      </w:r>
      <w:r w:rsidR="00950AC2" w:rsidRPr="00A641F2">
        <w:t>(</w:t>
      </w:r>
      <w:r w:rsidR="00021CC8" w:rsidRPr="00A641F2">
        <w:t>splitting their time between this and other</w:t>
      </w:r>
      <w:r w:rsidR="00950AC2" w:rsidRPr="00A641F2">
        <w:t xml:space="preserve"> contracts)</w:t>
      </w:r>
      <w:r w:rsidRPr="00A641F2">
        <w:t xml:space="preserve">.  </w:t>
      </w:r>
      <w:r w:rsidR="00C2296B" w:rsidRPr="00A641F2">
        <w:t xml:space="preserve">However for planning purposes, and to ensure the benefit of lower costs than the equivalent S&amp;Q rates, the composition of the CSC should be based on individuals being fully employed unless there are valid reasons to seek only part-time access to a skill set. </w:t>
      </w:r>
      <w:r w:rsidR="00950AC2" w:rsidRPr="00A641F2">
        <w:t xml:space="preserve"> </w:t>
      </w:r>
      <w:r w:rsidRPr="00A641F2">
        <w:t xml:space="preserve">The </w:t>
      </w:r>
      <w:r w:rsidR="00C2296B" w:rsidRPr="00A641F2">
        <w:t xml:space="preserve">exact </w:t>
      </w:r>
      <w:r w:rsidRPr="00A641F2">
        <w:t xml:space="preserve">number of hours </w:t>
      </w:r>
      <w:r w:rsidR="00C2296B" w:rsidRPr="00A641F2">
        <w:t>worked by</w:t>
      </w:r>
      <w:r w:rsidRPr="00A641F2">
        <w:t xml:space="preserve"> a single person is likely to vary from company to company</w:t>
      </w:r>
      <w:r w:rsidR="00C2296B" w:rsidRPr="00A641F2">
        <w:t xml:space="preserve"> and </w:t>
      </w:r>
      <w:r w:rsidR="00950AC2" w:rsidRPr="00A641F2">
        <w:t>potentially by category and</w:t>
      </w:r>
      <w:r w:rsidR="00C2296B" w:rsidRPr="00A641F2">
        <w:t xml:space="preserve"> skill </w:t>
      </w:r>
      <w:r w:rsidR="00950AC2" w:rsidRPr="00A641F2">
        <w:t>level</w:t>
      </w:r>
      <w:r w:rsidRPr="00A641F2">
        <w:t xml:space="preserve">, depending upon </w:t>
      </w:r>
      <w:r w:rsidR="00C2296B" w:rsidRPr="00A641F2">
        <w:t>other commitments</w:t>
      </w:r>
      <w:r w:rsidRPr="00A641F2">
        <w:t xml:space="preserve"> such as </w:t>
      </w:r>
      <w:r w:rsidR="00C2296B" w:rsidRPr="00A641F2">
        <w:t xml:space="preserve">internal </w:t>
      </w:r>
      <w:r w:rsidRPr="00A641F2">
        <w:t>training, leave and the like</w:t>
      </w:r>
      <w:r w:rsidR="00C2296B" w:rsidRPr="00A641F2">
        <w:t xml:space="preserve">; so </w:t>
      </w:r>
      <w:r w:rsidR="00586626" w:rsidRPr="00A641F2">
        <w:t xml:space="preserve">Service hours per FTE, rather than total </w:t>
      </w:r>
      <w:r w:rsidR="00C2296B" w:rsidRPr="00A641F2">
        <w:t>work hours per person</w:t>
      </w:r>
      <w:r w:rsidR="00586626" w:rsidRPr="00A641F2">
        <w:t>,</w:t>
      </w:r>
      <w:r w:rsidR="00C2296B" w:rsidRPr="00A641F2">
        <w:t xml:space="preserve"> is specified in the Contract</w:t>
      </w:r>
      <w:r w:rsidRPr="00A641F2">
        <w:t>.</w:t>
      </w:r>
    </w:p>
    <w:p w14:paraId="7BC09878" w14:textId="3AB5EED2" w:rsidR="00FF2661" w:rsidRPr="00A641F2" w:rsidRDefault="00006469">
      <w:pPr>
        <w:pStyle w:val="GuideLV2Head-ASDEFCON"/>
      </w:pPr>
      <w:bookmarkStart w:id="50" w:name="_Toc423808623"/>
      <w:bookmarkStart w:id="51" w:name="_Toc519256348"/>
      <w:bookmarkStart w:id="52" w:name="_Toc519256731"/>
      <w:bookmarkStart w:id="53" w:name="_Toc522618359"/>
      <w:bookmarkStart w:id="54" w:name="_Toc84506572"/>
      <w:r w:rsidRPr="00A641F2">
        <w:t xml:space="preserve">CSC </w:t>
      </w:r>
      <w:r w:rsidR="00261BC1" w:rsidRPr="00A641F2">
        <w:t>Scope and Additional Resources</w:t>
      </w:r>
      <w:bookmarkEnd w:id="50"/>
      <w:bookmarkEnd w:id="51"/>
      <w:bookmarkEnd w:id="52"/>
      <w:bookmarkEnd w:id="53"/>
      <w:bookmarkEnd w:id="54"/>
    </w:p>
    <w:p w14:paraId="26A6214A" w14:textId="4FEEB699" w:rsidR="00FF2661" w:rsidRPr="00A641F2" w:rsidRDefault="00FF2661">
      <w:pPr>
        <w:pStyle w:val="GuideText-ASDEFCON"/>
      </w:pPr>
      <w:r w:rsidRPr="00A641F2">
        <w:t>The CSC is task-oriented, which requires the Commonwealth to provide ongoing management and liaison for each Approved CSC Task</w:t>
      </w:r>
      <w:r w:rsidR="00172ED6" w:rsidRPr="00A641F2">
        <w:t xml:space="preserve"> (conducted in accordance with an Approved CSC Task Plan)</w:t>
      </w:r>
      <w:r w:rsidRPr="00A641F2">
        <w:t xml:space="preserve">.  This </w:t>
      </w:r>
      <w:r w:rsidR="00586626" w:rsidRPr="00A641F2">
        <w:t xml:space="preserve">creates an </w:t>
      </w:r>
      <w:r w:rsidRPr="00A641F2">
        <w:t>overhead</w:t>
      </w:r>
      <w:r w:rsidR="00586626" w:rsidRPr="00A641F2">
        <w:t>,</w:t>
      </w:r>
      <w:r w:rsidRPr="00A641F2">
        <w:t xml:space="preserve"> which can be significant when there is a large CSC team and a high number of CSC Tasks</w:t>
      </w:r>
      <w:r w:rsidR="00586626" w:rsidRPr="00A641F2">
        <w:t>,</w:t>
      </w:r>
      <w:r w:rsidRPr="00A641F2">
        <w:t xml:space="preserve"> </w:t>
      </w:r>
      <w:r w:rsidR="00586626" w:rsidRPr="00A641F2">
        <w:t>however, the overhead should be less than managing the equivalent work as S&amp;Q Services.  Either way, managing the CSC</w:t>
      </w:r>
      <w:r w:rsidRPr="00A641F2">
        <w:t xml:space="preserve"> needs to be factored into the considerations as to whether or not a CSC should be established.  The tasking process is </w:t>
      </w:r>
      <w:r w:rsidR="00172ED6" w:rsidRPr="00A641F2">
        <w:t>defined</w:t>
      </w:r>
      <w:r w:rsidRPr="00A641F2">
        <w:t xml:space="preserve"> in </w:t>
      </w:r>
      <w:r w:rsidR="004D290B" w:rsidRPr="00A641F2">
        <w:t xml:space="preserve">DSD-ENG-CSC with </w:t>
      </w:r>
      <w:r w:rsidRPr="00A641F2">
        <w:t>clause </w:t>
      </w:r>
      <w:r w:rsidR="00F567C3">
        <w:t>15</w:t>
      </w:r>
      <w:r w:rsidRPr="00A641F2">
        <w:t xml:space="preserve"> of the COC</w:t>
      </w:r>
      <w:r w:rsidR="004D290B" w:rsidRPr="00A641F2">
        <w:t xml:space="preserve"> providing governing conditions</w:t>
      </w:r>
      <w:r w:rsidRPr="00A641F2">
        <w:t>.</w:t>
      </w:r>
    </w:p>
    <w:p w14:paraId="4E57EAB9" w14:textId="1B3EAFEE" w:rsidR="00B67AE9" w:rsidRPr="00A641F2" w:rsidRDefault="00FF2661">
      <w:pPr>
        <w:pStyle w:val="GuideText-ASDEFCON"/>
      </w:pPr>
      <w:r w:rsidRPr="00A641F2">
        <w:t xml:space="preserve">Where the work scope </w:t>
      </w:r>
      <w:r w:rsidR="00573403" w:rsidRPr="00A641F2">
        <w:t xml:space="preserve">of a CSC Task </w:t>
      </w:r>
      <w:r w:rsidRPr="00A641F2">
        <w:t>exceeds the capacity and/or capability of the CSC</w:t>
      </w:r>
      <w:r w:rsidR="00586626" w:rsidRPr="00A641F2">
        <w:t xml:space="preserve"> Personnel</w:t>
      </w:r>
      <w:r w:rsidR="00573403" w:rsidRPr="00A641F2">
        <w:t xml:space="preserve"> available</w:t>
      </w:r>
      <w:r w:rsidRPr="00A641F2">
        <w:t>, CSC Additional Resources can be obtained using a quotation process</w:t>
      </w:r>
      <w:r w:rsidR="00573403" w:rsidRPr="00A641F2">
        <w:t>.</w:t>
      </w:r>
      <w:r w:rsidRPr="00A641F2">
        <w:t xml:space="preserve"> </w:t>
      </w:r>
      <w:r w:rsidR="00573403" w:rsidRPr="00A641F2">
        <w:t xml:space="preserve"> This is undertaken like quoting for S&amp;Q Services, </w:t>
      </w:r>
      <w:r w:rsidRPr="00A641F2">
        <w:t>while being managed in accordance with the CSC Task Plan</w:t>
      </w:r>
      <w:r w:rsidR="00573403" w:rsidRPr="00A641F2">
        <w:t>,</w:t>
      </w:r>
      <w:r w:rsidRPr="00A641F2">
        <w:t xml:space="preserve"> </w:t>
      </w:r>
      <w:r w:rsidR="004D290B" w:rsidRPr="00A641F2">
        <w:t xml:space="preserve">and </w:t>
      </w:r>
      <w:r w:rsidR="00573403" w:rsidRPr="00A641F2">
        <w:t xml:space="preserve">also </w:t>
      </w:r>
      <w:r w:rsidR="004D290B" w:rsidRPr="00A641F2">
        <w:t>uses the S&amp;Q Services’ rates and mark-up</w:t>
      </w:r>
      <w:r w:rsidR="00573403" w:rsidRPr="00A641F2">
        <w:t>s</w:t>
      </w:r>
      <w:r w:rsidR="004D290B" w:rsidRPr="00A641F2">
        <w:t xml:space="preserve"> in </w:t>
      </w:r>
      <w:r w:rsidR="00573403" w:rsidRPr="00A641F2">
        <w:t xml:space="preserve">Annex </w:t>
      </w:r>
      <w:r w:rsidR="00295C0E">
        <w:t>F</w:t>
      </w:r>
      <w:r w:rsidR="00573403" w:rsidRPr="00A641F2">
        <w:t xml:space="preserve"> to </w:t>
      </w:r>
      <w:r w:rsidR="004D290B" w:rsidRPr="00A641F2">
        <w:t xml:space="preserve">Attachment B.   Part 2 of DID-SSM-S&amp;Q can also be used as the </w:t>
      </w:r>
      <w:r w:rsidR="00573403" w:rsidRPr="00A641F2">
        <w:t>format</w:t>
      </w:r>
      <w:r w:rsidR="004D290B" w:rsidRPr="00A641F2">
        <w:t xml:space="preserve"> for quot</w:t>
      </w:r>
      <w:r w:rsidR="00573403" w:rsidRPr="00A641F2">
        <w:t>ations,</w:t>
      </w:r>
      <w:r w:rsidR="004D290B" w:rsidRPr="00A641F2">
        <w:t xml:space="preserve"> but </w:t>
      </w:r>
      <w:r w:rsidR="00573403" w:rsidRPr="00A641F2">
        <w:t xml:space="preserve">are </w:t>
      </w:r>
      <w:r w:rsidR="004D290B" w:rsidRPr="00A641F2">
        <w:t xml:space="preserve">not subject to the </w:t>
      </w:r>
      <w:r w:rsidR="00573403" w:rsidRPr="00A641F2">
        <w:t>S&amp;Q clauses</w:t>
      </w:r>
      <w:r w:rsidR="004D290B" w:rsidRPr="00A641F2">
        <w:t xml:space="preserve"> in the Contract as these are superseded by C</w:t>
      </w:r>
      <w:r w:rsidR="00573403" w:rsidRPr="00A641F2">
        <w:t>O</w:t>
      </w:r>
      <w:r w:rsidR="004D290B" w:rsidRPr="00A641F2">
        <w:t>C clause</w:t>
      </w:r>
      <w:r w:rsidR="00573403" w:rsidRPr="00A641F2">
        <w:t xml:space="preserve"> </w:t>
      </w:r>
      <w:r w:rsidR="00F567C3">
        <w:t>15</w:t>
      </w:r>
      <w:r w:rsidR="00573403" w:rsidRPr="00A641F2">
        <w:t>.4</w:t>
      </w:r>
      <w:r w:rsidR="000C2616">
        <w:t>.</w:t>
      </w:r>
    </w:p>
    <w:p w14:paraId="1DD4A90E" w14:textId="77777777" w:rsidR="00FF2661" w:rsidRPr="00A641F2" w:rsidRDefault="00FF2661">
      <w:pPr>
        <w:pStyle w:val="GuideText-ASDEFCON"/>
      </w:pPr>
      <w:r w:rsidRPr="00A641F2">
        <w:t>The CSC</w:t>
      </w:r>
      <w:r w:rsidR="00F07C6B" w:rsidRPr="00A641F2">
        <w:t>’s</w:t>
      </w:r>
      <w:r w:rsidRPr="00A641F2">
        <w:t xml:space="preserve"> </w:t>
      </w:r>
      <w:r w:rsidR="008A103A" w:rsidRPr="00A641F2">
        <w:t xml:space="preserve">composition </w:t>
      </w:r>
      <w:r w:rsidRPr="00A641F2">
        <w:t xml:space="preserve">must be reviewed on a regular basis (eg, </w:t>
      </w:r>
      <w:r w:rsidR="00261BC1" w:rsidRPr="00A641F2">
        <w:t>every year or two years</w:t>
      </w:r>
      <w:r w:rsidR="00B67AE9" w:rsidRPr="00A641F2">
        <w:t xml:space="preserve"> as defined by the drafter</w:t>
      </w:r>
      <w:r w:rsidRPr="00A641F2">
        <w:t xml:space="preserve">) to ensure that the </w:t>
      </w:r>
      <w:r w:rsidR="00172ED6" w:rsidRPr="00A641F2">
        <w:t xml:space="preserve">number of </w:t>
      </w:r>
      <w:r w:rsidRPr="00A641F2">
        <w:t xml:space="preserve">CSC </w:t>
      </w:r>
      <w:r w:rsidR="008A103A" w:rsidRPr="00A641F2">
        <w:t xml:space="preserve">Personnel </w:t>
      </w:r>
      <w:r w:rsidRPr="00A641F2">
        <w:t xml:space="preserve">is appropriate and that </w:t>
      </w:r>
      <w:r w:rsidR="00172ED6" w:rsidRPr="00A641F2">
        <w:t>the team</w:t>
      </w:r>
      <w:r w:rsidRPr="00A641F2">
        <w:t xml:space="preserve"> includes the correct mix of skills</w:t>
      </w:r>
      <w:r w:rsidR="00261BC1" w:rsidRPr="00A641F2">
        <w:t xml:space="preserve"> for the next </w:t>
      </w:r>
      <w:r w:rsidR="008A103A" w:rsidRPr="00A641F2">
        <w:t xml:space="preserve">extension to the </w:t>
      </w:r>
      <w:r w:rsidR="00172ED6" w:rsidRPr="00A641F2">
        <w:t>CSC Term</w:t>
      </w:r>
      <w:r w:rsidRPr="00A641F2">
        <w:t>.</w:t>
      </w:r>
      <w:r w:rsidR="00D967ED" w:rsidRPr="00A641F2">
        <w:t xml:space="preserve">  </w:t>
      </w:r>
      <w:r w:rsidR="00573403" w:rsidRPr="00A641F2">
        <w:t>The</w:t>
      </w:r>
      <w:r w:rsidR="00D967ED" w:rsidRPr="00A641F2">
        <w:t xml:space="preserve"> </w:t>
      </w:r>
      <w:r w:rsidR="00573403" w:rsidRPr="00A641F2">
        <w:t xml:space="preserve">Contract </w:t>
      </w:r>
      <w:r w:rsidR="00EB24FF" w:rsidRPr="00A641F2">
        <w:t>should</w:t>
      </w:r>
      <w:r w:rsidR="00D967ED" w:rsidRPr="00A641F2">
        <w:t xml:space="preserve"> </w:t>
      </w:r>
      <w:r w:rsidR="00BA1BCC" w:rsidRPr="00A641F2">
        <w:t>aim for a</w:t>
      </w:r>
      <w:r w:rsidR="00D967ED" w:rsidRPr="00A641F2">
        <w:t xml:space="preserve"> </w:t>
      </w:r>
      <w:r w:rsidR="002C2995" w:rsidRPr="00A641F2">
        <w:t xml:space="preserve">CSC </w:t>
      </w:r>
      <w:r w:rsidR="00D967ED" w:rsidRPr="00A641F2">
        <w:t xml:space="preserve">core team </w:t>
      </w:r>
      <w:r w:rsidR="00573403" w:rsidRPr="00A641F2">
        <w:t>with the skills and numbers of CSC Personnel</w:t>
      </w:r>
      <w:r w:rsidR="00D967ED" w:rsidRPr="00A641F2">
        <w:t xml:space="preserve"> </w:t>
      </w:r>
      <w:r w:rsidR="00EB24FF" w:rsidRPr="00A641F2">
        <w:t xml:space="preserve">that </w:t>
      </w:r>
      <w:r w:rsidR="002C2995" w:rsidRPr="00A641F2">
        <w:t>a</w:t>
      </w:r>
      <w:r w:rsidR="00BA1BCC" w:rsidRPr="00A641F2">
        <w:t xml:space="preserve">pproximate </w:t>
      </w:r>
      <w:r w:rsidR="008A103A" w:rsidRPr="00A641F2">
        <w:t xml:space="preserve">a minimum </w:t>
      </w:r>
      <w:r w:rsidR="002C2995" w:rsidRPr="00A641F2">
        <w:t xml:space="preserve">level </w:t>
      </w:r>
      <w:r w:rsidR="00BA1BCC" w:rsidRPr="00A641F2">
        <w:t>of</w:t>
      </w:r>
      <w:r w:rsidR="00EB24FF" w:rsidRPr="00A641F2">
        <w:t xml:space="preserve"> </w:t>
      </w:r>
      <w:r w:rsidR="00B67AE9" w:rsidRPr="00A641F2">
        <w:t xml:space="preserve">the </w:t>
      </w:r>
      <w:r w:rsidR="00EB24FF" w:rsidRPr="00A641F2">
        <w:t>expected workload</w:t>
      </w:r>
      <w:r w:rsidR="00BA1BCC" w:rsidRPr="00A641F2">
        <w:t>,</w:t>
      </w:r>
      <w:r w:rsidR="00EB24FF" w:rsidRPr="00A641F2">
        <w:t xml:space="preserve"> </w:t>
      </w:r>
      <w:r w:rsidR="00BA1BCC" w:rsidRPr="00A641F2">
        <w:t xml:space="preserve">and </w:t>
      </w:r>
      <w:r w:rsidR="00573403" w:rsidRPr="00A641F2">
        <w:t xml:space="preserve">then </w:t>
      </w:r>
      <w:r w:rsidR="00BA1BCC" w:rsidRPr="00A641F2">
        <w:t xml:space="preserve">use </w:t>
      </w:r>
      <w:r w:rsidR="00EB24FF" w:rsidRPr="00A641F2">
        <w:t>CSC Additional Resources to</w:t>
      </w:r>
      <w:r w:rsidR="002C2995" w:rsidRPr="00A641F2">
        <w:t xml:space="preserve"> </w:t>
      </w:r>
      <w:r w:rsidR="00BA1BCC" w:rsidRPr="00A641F2">
        <w:t>supplement th</w:t>
      </w:r>
      <w:r w:rsidR="00B67AE9" w:rsidRPr="00A641F2">
        <w:t>at</w:t>
      </w:r>
      <w:r w:rsidR="00BA1BCC" w:rsidRPr="00A641F2">
        <w:t xml:space="preserve"> core team when the </w:t>
      </w:r>
      <w:r w:rsidR="002C2995" w:rsidRPr="00A641F2">
        <w:t xml:space="preserve">workload </w:t>
      </w:r>
      <w:r w:rsidR="008A103A" w:rsidRPr="00A641F2">
        <w:t>exceeds</w:t>
      </w:r>
      <w:r w:rsidR="00BA1BCC" w:rsidRPr="00A641F2">
        <w:t xml:space="preserve"> the CSC team’s </w:t>
      </w:r>
      <w:r w:rsidR="008A103A" w:rsidRPr="00A641F2">
        <w:t>capacity</w:t>
      </w:r>
      <w:r w:rsidR="00172ED6" w:rsidRPr="00A641F2">
        <w:t xml:space="preserve"> or skills base</w:t>
      </w:r>
      <w:r w:rsidR="002C2995" w:rsidRPr="00A641F2">
        <w:t>.</w:t>
      </w:r>
    </w:p>
    <w:p w14:paraId="02663C81" w14:textId="77777777" w:rsidR="00FF2661" w:rsidRPr="00A641F2" w:rsidRDefault="00FF2661">
      <w:pPr>
        <w:pStyle w:val="GuideText-ASDEFCON"/>
      </w:pPr>
      <w:r w:rsidRPr="00A641F2">
        <w:t xml:space="preserve">The inclusion of provisions relating to CSC Additional Resources means that the composition of </w:t>
      </w:r>
      <w:r w:rsidR="008A103A" w:rsidRPr="00A641F2">
        <w:t xml:space="preserve">a </w:t>
      </w:r>
      <w:r w:rsidRPr="00A641F2">
        <w:t xml:space="preserve">CSC does not need to be established </w:t>
      </w:r>
      <w:r w:rsidR="00BF2BD2" w:rsidRPr="00A641F2">
        <w:t xml:space="preserve">in order </w:t>
      </w:r>
      <w:r w:rsidRPr="00A641F2">
        <w:t>to cater for every possib</w:t>
      </w:r>
      <w:r w:rsidR="008A103A" w:rsidRPr="00A641F2">
        <w:t>le task</w:t>
      </w:r>
      <w:r w:rsidRPr="00A641F2">
        <w:t>.  Notwithstanding, CSC Additional Resources have the same</w:t>
      </w:r>
      <w:r w:rsidR="00BF2BD2" w:rsidRPr="00A641F2">
        <w:t xml:space="preserve"> cost and schedule</w:t>
      </w:r>
      <w:r w:rsidRPr="00A641F2">
        <w:t xml:space="preserve"> issues and constraints as any </w:t>
      </w:r>
      <w:r w:rsidR="008A103A" w:rsidRPr="00A641F2">
        <w:t xml:space="preserve">other </w:t>
      </w:r>
      <w:r w:rsidRPr="00A641F2">
        <w:t>resources obtained through S&amp;Q Services (as explained above).  There needs to be a balance struck</w:t>
      </w:r>
      <w:r w:rsidR="008A103A" w:rsidRPr="00A641F2">
        <w:t xml:space="preserve"> </w:t>
      </w:r>
      <w:r w:rsidRPr="00A641F2">
        <w:t xml:space="preserve">between having ready access to </w:t>
      </w:r>
      <w:r w:rsidR="008A103A" w:rsidRPr="00A641F2">
        <w:t xml:space="preserve">skilled </w:t>
      </w:r>
      <w:r w:rsidRPr="00A641F2">
        <w:t xml:space="preserve">resources and </w:t>
      </w:r>
      <w:r w:rsidR="00BF2BD2" w:rsidRPr="00A641F2">
        <w:t xml:space="preserve">the </w:t>
      </w:r>
      <w:r w:rsidRPr="00A641F2">
        <w:t xml:space="preserve">potential delays while CSC Additional Resources are being obtained.  In this regard, a good </w:t>
      </w:r>
      <w:r w:rsidR="00BF2BD2" w:rsidRPr="00A641F2">
        <w:t>strategy for</w:t>
      </w:r>
      <w:r w:rsidRPr="00A641F2">
        <w:t xml:space="preserve"> the CSC </w:t>
      </w:r>
      <w:r w:rsidR="00172ED6" w:rsidRPr="00A641F2">
        <w:t xml:space="preserve">can </w:t>
      </w:r>
      <w:r w:rsidRPr="00A641F2">
        <w:t xml:space="preserve">be to maintain a core team of experts </w:t>
      </w:r>
      <w:r w:rsidR="00172ED6" w:rsidRPr="00A641F2">
        <w:t xml:space="preserve">who </w:t>
      </w:r>
      <w:r w:rsidRPr="00A641F2">
        <w:t>can handle an on</w:t>
      </w:r>
      <w:r w:rsidRPr="00A641F2">
        <w:noBreakHyphen/>
        <w:t>going level of (Ad Hoc) work effort</w:t>
      </w:r>
      <w:r w:rsidR="00172ED6" w:rsidRPr="00A641F2">
        <w:t>,</w:t>
      </w:r>
      <w:r w:rsidRPr="00A641F2">
        <w:t xml:space="preserve"> and </w:t>
      </w:r>
      <w:r w:rsidR="00BF2BD2" w:rsidRPr="00A641F2">
        <w:t xml:space="preserve">who can </w:t>
      </w:r>
      <w:r w:rsidR="00B67AE9" w:rsidRPr="00A641F2">
        <w:t xml:space="preserve">also </w:t>
      </w:r>
      <w:r w:rsidRPr="00A641F2">
        <w:t xml:space="preserve">guide and manage </w:t>
      </w:r>
      <w:r w:rsidR="00172ED6" w:rsidRPr="00A641F2">
        <w:t xml:space="preserve">the </w:t>
      </w:r>
      <w:r w:rsidRPr="00A641F2">
        <w:t xml:space="preserve">CSC Additional Resources </w:t>
      </w:r>
      <w:r w:rsidR="00B67AE9" w:rsidRPr="00A641F2">
        <w:t>when</w:t>
      </w:r>
      <w:r w:rsidRPr="00A641F2">
        <w:t xml:space="preserve"> </w:t>
      </w:r>
      <w:r w:rsidR="00B67AE9" w:rsidRPr="00A641F2">
        <w:t xml:space="preserve">taking on </w:t>
      </w:r>
      <w:r w:rsidRPr="00A641F2">
        <w:t xml:space="preserve">larger individual tasks </w:t>
      </w:r>
      <w:r w:rsidR="00BF2BD2" w:rsidRPr="00A641F2">
        <w:t xml:space="preserve">or </w:t>
      </w:r>
      <w:r w:rsidR="008A103A" w:rsidRPr="00A641F2">
        <w:t xml:space="preserve">an </w:t>
      </w:r>
      <w:r w:rsidR="00172ED6" w:rsidRPr="00A641F2">
        <w:t xml:space="preserve">overall increase </w:t>
      </w:r>
      <w:r w:rsidRPr="00A641F2">
        <w:t>in demand</w:t>
      </w:r>
      <w:r w:rsidR="00BF2BD2" w:rsidRPr="00A641F2">
        <w:t xml:space="preserve"> for those kinds of Services</w:t>
      </w:r>
      <w:r w:rsidRPr="00A641F2">
        <w:t>.</w:t>
      </w:r>
    </w:p>
    <w:p w14:paraId="272BE01B" w14:textId="77777777" w:rsidR="00FF2661" w:rsidRPr="00A641F2" w:rsidRDefault="00FF2661">
      <w:pPr>
        <w:pStyle w:val="GuideText-ASDEFCON"/>
      </w:pPr>
      <w:r w:rsidRPr="00A641F2">
        <w:t xml:space="preserve">The CSC is </w:t>
      </w:r>
      <w:r w:rsidR="00261BC1" w:rsidRPr="00A641F2">
        <w:t xml:space="preserve">scoped </w:t>
      </w:r>
      <w:r w:rsidRPr="00A641F2">
        <w:t xml:space="preserve">in terms of </w:t>
      </w:r>
      <w:r w:rsidR="00F07C6B" w:rsidRPr="00A641F2">
        <w:t xml:space="preserve">available </w:t>
      </w:r>
      <w:r w:rsidRPr="00A641F2">
        <w:t xml:space="preserve">effort (ie, </w:t>
      </w:r>
      <w:r w:rsidR="00F07C6B" w:rsidRPr="00A641F2">
        <w:t xml:space="preserve">CSC Service Hours in each </w:t>
      </w:r>
      <w:r w:rsidR="00BF2BD2" w:rsidRPr="00A641F2">
        <w:t>labour</w:t>
      </w:r>
      <w:r w:rsidR="00F07C6B" w:rsidRPr="00A641F2">
        <w:t xml:space="preserve"> category</w:t>
      </w:r>
      <w:r w:rsidR="00BF2BD2" w:rsidRPr="00A641F2">
        <w:t xml:space="preserve"> and skill level</w:t>
      </w:r>
      <w:r w:rsidRPr="00A641F2">
        <w:t>), which means that an individual could be a part-time member of the CSC as well as a part-time member of the Contractor’s team performing the Recurring Services</w:t>
      </w:r>
      <w:r w:rsidR="00F07C6B" w:rsidRPr="00A641F2">
        <w:t xml:space="preserve"> (provided that the Commonwealth is not charged twice for the same </w:t>
      </w:r>
      <w:r w:rsidR="00BF2BD2" w:rsidRPr="00A641F2">
        <w:t xml:space="preserve">work </w:t>
      </w:r>
      <w:r w:rsidR="00F07C6B" w:rsidRPr="00A641F2">
        <w:t>hours)</w:t>
      </w:r>
      <w:r w:rsidRPr="00A641F2">
        <w:t xml:space="preserve">.  This approach may be necessary for intermittent Services that </w:t>
      </w:r>
      <w:r w:rsidR="00F07C6B" w:rsidRPr="00A641F2">
        <w:t>form</w:t>
      </w:r>
      <w:r w:rsidRPr="00A641F2">
        <w:t xml:space="preserve"> part of CSC Tasks, but </w:t>
      </w:r>
      <w:r w:rsidR="00F07C6B" w:rsidRPr="00A641F2">
        <w:t xml:space="preserve">which </w:t>
      </w:r>
      <w:r w:rsidRPr="00A641F2">
        <w:t xml:space="preserve">are not required </w:t>
      </w:r>
      <w:r w:rsidR="00172ED6" w:rsidRPr="00A641F2">
        <w:t xml:space="preserve">to be conducted </w:t>
      </w:r>
      <w:r w:rsidRPr="00A641F2">
        <w:t xml:space="preserve">100% of the time (eg, configuration management, quality assurance, independent engineering review, and integrated logistic support).  These intermittent Services could also be provided </w:t>
      </w:r>
      <w:r w:rsidR="00172ED6" w:rsidRPr="00A641F2">
        <w:t>by</w:t>
      </w:r>
      <w:r w:rsidRPr="00A641F2">
        <w:t xml:space="preserve"> CSC Additional Resources.</w:t>
      </w:r>
    </w:p>
    <w:p w14:paraId="59412AF9" w14:textId="2282C7F9" w:rsidR="00EA0025" w:rsidRPr="00A641F2" w:rsidRDefault="0006383A">
      <w:pPr>
        <w:pStyle w:val="GuideLV2Head-ASDEFCON"/>
      </w:pPr>
      <w:bookmarkStart w:id="55" w:name="_Toc423808624"/>
      <w:bookmarkStart w:id="56" w:name="_Toc519256349"/>
      <w:bookmarkStart w:id="57" w:name="_Toc519256732"/>
      <w:bookmarkStart w:id="58" w:name="_Toc522618360"/>
      <w:bookmarkStart w:id="59" w:name="_Toc84506573"/>
      <w:r w:rsidRPr="00A641F2">
        <w:t xml:space="preserve">Overview of </w:t>
      </w:r>
      <w:r w:rsidR="00EA0025" w:rsidRPr="00A641F2">
        <w:t>CSC Tasks</w:t>
      </w:r>
      <w:bookmarkEnd w:id="55"/>
      <w:bookmarkEnd w:id="56"/>
      <w:bookmarkEnd w:id="57"/>
      <w:bookmarkEnd w:id="58"/>
      <w:bookmarkEnd w:id="59"/>
    </w:p>
    <w:p w14:paraId="341A8805" w14:textId="77777777" w:rsidR="00EA0025" w:rsidRPr="00A641F2" w:rsidRDefault="00EA0025">
      <w:pPr>
        <w:pStyle w:val="GuideText-ASDEFCON"/>
      </w:pPr>
      <w:r w:rsidRPr="00A641F2">
        <w:t>Tasks can be performed by the CSC for many purposes.  These are categorised within DSD-ENG-CSC</w:t>
      </w:r>
      <w:r w:rsidR="0006383A" w:rsidRPr="00A641F2">
        <w:t xml:space="preserve"> (refer clause 6.3)</w:t>
      </w:r>
      <w:r w:rsidRPr="00A641F2">
        <w:t xml:space="preserve"> as follows:</w:t>
      </w:r>
    </w:p>
    <w:p w14:paraId="78E1016D" w14:textId="77777777" w:rsidR="00EA0025" w:rsidRPr="00A641F2" w:rsidRDefault="00EA0025" w:rsidP="00023969">
      <w:pPr>
        <w:pStyle w:val="GuideSublistLv1-ASDEFCON"/>
        <w:numPr>
          <w:ilvl w:val="0"/>
          <w:numId w:val="37"/>
        </w:numPr>
      </w:pPr>
      <w:r w:rsidRPr="00E37FDB">
        <w:rPr>
          <w:u w:val="single"/>
        </w:rPr>
        <w:t>Major Change Tasks.</w:t>
      </w:r>
      <w:r w:rsidRPr="00A641F2">
        <w:t xml:space="preserve">  These </w:t>
      </w:r>
      <w:r w:rsidR="00FF76D3" w:rsidRPr="00A641F2">
        <w:t>(</w:t>
      </w:r>
      <w:r w:rsidRPr="00A641F2">
        <w:t>also called Class 1 engineering change tasks</w:t>
      </w:r>
      <w:r w:rsidR="00FF76D3" w:rsidRPr="00A641F2">
        <w:t>)</w:t>
      </w:r>
      <w:r w:rsidRPr="00A641F2">
        <w:t xml:space="preserve"> are managed in accordance with DSD-ENG-SERV</w:t>
      </w:r>
      <w:r w:rsidR="00BF2BD2" w:rsidRPr="00A641F2">
        <w:t xml:space="preserve"> and DSD-ENG-SW, if applicable to software</w:t>
      </w:r>
      <w:r w:rsidRPr="00A641F2">
        <w:t xml:space="preserve">.  For the CSC, these are broken into stages with a mixture of </w:t>
      </w:r>
      <w:r w:rsidR="00262824" w:rsidRPr="00A641F2">
        <w:t xml:space="preserve">CSC Time </w:t>
      </w:r>
      <w:r w:rsidRPr="00A641F2">
        <w:t xml:space="preserve">and </w:t>
      </w:r>
      <w:r w:rsidR="00262824" w:rsidRPr="00A641F2">
        <w:t xml:space="preserve">Materials </w:t>
      </w:r>
      <w:r w:rsidRPr="00A641F2">
        <w:t xml:space="preserve">(T&amp;M) and </w:t>
      </w:r>
      <w:r w:rsidR="00262824" w:rsidRPr="00A641F2">
        <w:t xml:space="preserve">CSC Capped Price Task </w:t>
      </w:r>
      <w:r w:rsidRPr="00A641F2">
        <w:t>work.</w:t>
      </w:r>
    </w:p>
    <w:p w14:paraId="6B00BC17" w14:textId="77777777" w:rsidR="00EA0025" w:rsidRPr="00A641F2" w:rsidRDefault="00EA0025" w:rsidP="00023969">
      <w:pPr>
        <w:pStyle w:val="GuideSublistLv1-ASDEFCON"/>
      </w:pPr>
      <w:r w:rsidRPr="00A641F2">
        <w:rPr>
          <w:u w:val="single"/>
        </w:rPr>
        <w:t>Study Tasks.</w:t>
      </w:r>
      <w:r w:rsidRPr="00A641F2">
        <w:t xml:space="preserve">  These include investigative analyses of supportability, maintenance requirements, reliability or efficiencies, and are usually </w:t>
      </w:r>
      <w:r w:rsidR="00262824" w:rsidRPr="00A641F2">
        <w:t xml:space="preserve">CSC </w:t>
      </w:r>
      <w:r w:rsidRPr="00A641F2">
        <w:t xml:space="preserve">T&amp;M </w:t>
      </w:r>
      <w:r w:rsidR="00262824" w:rsidRPr="00A641F2">
        <w:t>Tasks</w:t>
      </w:r>
      <w:r w:rsidRPr="00A641F2">
        <w:t>.</w:t>
      </w:r>
    </w:p>
    <w:p w14:paraId="163CA430" w14:textId="77777777" w:rsidR="00EA0025" w:rsidRPr="00A641F2" w:rsidRDefault="00EA0025" w:rsidP="00023969">
      <w:pPr>
        <w:pStyle w:val="GuideSublistLv1-ASDEFCON"/>
      </w:pPr>
      <w:r w:rsidRPr="00A641F2">
        <w:rPr>
          <w:u w:val="single"/>
        </w:rPr>
        <w:t>Other Tasks.</w:t>
      </w:r>
      <w:r w:rsidRPr="00A641F2">
        <w:t xml:space="preserve">  These could include Minor Changes (Class 2 engineering changes)</w:t>
      </w:r>
      <w:r w:rsidR="00F0207C" w:rsidRPr="00A641F2">
        <w:t>, Technical Data updates, or</w:t>
      </w:r>
      <w:r w:rsidRPr="00A641F2">
        <w:t xml:space="preserve"> any</w:t>
      </w:r>
      <w:r w:rsidR="00F0207C" w:rsidRPr="00A641F2">
        <w:t xml:space="preserve"> other CSC Task</w:t>
      </w:r>
      <w:r w:rsidRPr="00A641F2">
        <w:t xml:space="preserve"> not included in the above task</w:t>
      </w:r>
      <w:r w:rsidR="00F0207C" w:rsidRPr="00A641F2">
        <w:t xml:space="preserve"> groups</w:t>
      </w:r>
      <w:r w:rsidRPr="00A641F2">
        <w:t xml:space="preserve"> or CSC management activities</w:t>
      </w:r>
      <w:r w:rsidR="00F0207C" w:rsidRPr="00A641F2">
        <w:t xml:space="preserve"> (standing tasks)</w:t>
      </w:r>
      <w:r w:rsidRPr="00A641F2">
        <w:t xml:space="preserve">.  These are all </w:t>
      </w:r>
      <w:r w:rsidR="00F0207C" w:rsidRPr="00A641F2">
        <w:t xml:space="preserve">managed as </w:t>
      </w:r>
      <w:r w:rsidR="00262824" w:rsidRPr="00A641F2">
        <w:t>CSC Capped P</w:t>
      </w:r>
      <w:r w:rsidR="00F248AE" w:rsidRPr="00A641F2">
        <w:t>rice</w:t>
      </w:r>
      <w:r w:rsidRPr="00A641F2">
        <w:t xml:space="preserve"> </w:t>
      </w:r>
      <w:r w:rsidR="00262824" w:rsidRPr="00A641F2">
        <w:t>Tasks</w:t>
      </w:r>
      <w:r w:rsidRPr="00A641F2">
        <w:t>, unless otherwise agreed.</w:t>
      </w:r>
    </w:p>
    <w:p w14:paraId="2F737338" w14:textId="77777777" w:rsidR="00EA0025" w:rsidRPr="00A641F2" w:rsidRDefault="00EA0025" w:rsidP="00023969">
      <w:pPr>
        <w:pStyle w:val="GuideSublistLv1-ASDEFCON"/>
      </w:pPr>
      <w:r w:rsidRPr="00A641F2">
        <w:rPr>
          <w:u w:val="single"/>
        </w:rPr>
        <w:t>Standing Tasks.</w:t>
      </w:r>
      <w:r w:rsidRPr="00A641F2">
        <w:t xml:space="preserve">  These are tasks to manage the CSC and must not exceed 10% of the monthly CSC effort.</w:t>
      </w:r>
    </w:p>
    <w:p w14:paraId="7B180481" w14:textId="77777777" w:rsidR="00EA0025" w:rsidRPr="00A641F2" w:rsidRDefault="00F0207C">
      <w:pPr>
        <w:pStyle w:val="GuideText-ASDEFCON"/>
      </w:pPr>
      <w:r w:rsidRPr="00A641F2">
        <w:t xml:space="preserve">By way of </w:t>
      </w:r>
      <w:r w:rsidR="00EA0025" w:rsidRPr="00A641F2">
        <w:t xml:space="preserve">explanation, T&amp;M tasks are not to exceed a set </w:t>
      </w:r>
      <w:r w:rsidRPr="00A641F2">
        <w:t>‘</w:t>
      </w:r>
      <w:r w:rsidR="00EA0025" w:rsidRPr="00A641F2">
        <w:t>budget</w:t>
      </w:r>
      <w:r w:rsidRPr="00A641F2">
        <w:t>’</w:t>
      </w:r>
      <w:r w:rsidR="00EA0025" w:rsidRPr="00A641F2">
        <w:t xml:space="preserve"> (</w:t>
      </w:r>
      <w:r w:rsidRPr="00A641F2">
        <w:t>ie, a budget including both the</w:t>
      </w:r>
      <w:r w:rsidR="00FF76D3" w:rsidRPr="00A641F2">
        <w:t xml:space="preserve"> </w:t>
      </w:r>
      <w:r w:rsidRPr="00A641F2">
        <w:t xml:space="preserve">CSC </w:t>
      </w:r>
      <w:r w:rsidR="00AB3026" w:rsidRPr="00A641F2">
        <w:t xml:space="preserve">Service Hours </w:t>
      </w:r>
      <w:r w:rsidR="00FF76D3" w:rsidRPr="00A641F2">
        <w:t xml:space="preserve">and </w:t>
      </w:r>
      <w:r w:rsidR="00AB3026" w:rsidRPr="00A641F2">
        <w:t xml:space="preserve">CSC </w:t>
      </w:r>
      <w:r w:rsidRPr="00A641F2">
        <w:t>Additional</w:t>
      </w:r>
      <w:r w:rsidR="00FF76D3" w:rsidRPr="00A641F2">
        <w:t xml:space="preserve"> </w:t>
      </w:r>
      <w:r w:rsidRPr="00A641F2">
        <w:t>R</w:t>
      </w:r>
      <w:r w:rsidR="00FF76D3" w:rsidRPr="00A641F2">
        <w:t xml:space="preserve">esources </w:t>
      </w:r>
      <w:r w:rsidR="00EA0025" w:rsidRPr="00A641F2">
        <w:t xml:space="preserve">identified in the </w:t>
      </w:r>
      <w:r w:rsidRPr="00A641F2">
        <w:t xml:space="preserve">Approved CSC </w:t>
      </w:r>
      <w:r w:rsidR="00EA0025" w:rsidRPr="00A641F2">
        <w:t xml:space="preserve">Task Plan) without the Commonwealth Representative’s written </w:t>
      </w:r>
      <w:r w:rsidRPr="00A641F2">
        <w:t>Approval</w:t>
      </w:r>
      <w:r w:rsidR="00EA0025" w:rsidRPr="00A641F2">
        <w:t xml:space="preserve">.  If </w:t>
      </w:r>
      <w:r w:rsidRPr="00A641F2">
        <w:t xml:space="preserve">Approval </w:t>
      </w:r>
      <w:r w:rsidR="00EA0025" w:rsidRPr="00A641F2">
        <w:t xml:space="preserve">is not granted, the CSC Task ceases and is deemed to be complete.  In some cases a </w:t>
      </w:r>
      <w:r w:rsidR="00262824" w:rsidRPr="00A641F2">
        <w:t>CSC T&amp;M T</w:t>
      </w:r>
      <w:r w:rsidR="00EA0025" w:rsidRPr="00A641F2">
        <w:t>ask may be closed before the budget is reached, such as a study task where the findings were made or outcomes achieved in less time than was originally forecast.</w:t>
      </w:r>
      <w:r w:rsidR="00F07C6B" w:rsidRPr="00A641F2">
        <w:t xml:space="preserve">  </w:t>
      </w:r>
      <w:r w:rsidR="00F24877" w:rsidRPr="00A641F2">
        <w:t>Any u</w:t>
      </w:r>
      <w:r w:rsidR="00F07C6B" w:rsidRPr="00A641F2">
        <w:t xml:space="preserve">nused hours are then </w:t>
      </w:r>
      <w:r w:rsidR="00F24877" w:rsidRPr="00A641F2">
        <w:t xml:space="preserve">made </w:t>
      </w:r>
      <w:r w:rsidR="00F07C6B" w:rsidRPr="00A641F2">
        <w:t>available for</w:t>
      </w:r>
      <w:r w:rsidR="00D160C5" w:rsidRPr="00A641F2">
        <w:t xml:space="preserve"> use by the Commonwealth on</w:t>
      </w:r>
      <w:r w:rsidR="00F07C6B" w:rsidRPr="00A641F2">
        <w:t xml:space="preserve"> other </w:t>
      </w:r>
      <w:r w:rsidR="00F24877" w:rsidRPr="00A641F2">
        <w:t>CSC Tasks</w:t>
      </w:r>
      <w:r w:rsidR="00F07C6B" w:rsidRPr="00A641F2">
        <w:t>.</w:t>
      </w:r>
    </w:p>
    <w:p w14:paraId="6371CEE8" w14:textId="77777777" w:rsidR="00EA0025" w:rsidRPr="00A641F2" w:rsidRDefault="00EA0025">
      <w:pPr>
        <w:pStyle w:val="GuideText-ASDEFCON"/>
      </w:pPr>
      <w:r w:rsidRPr="00A641F2">
        <w:t xml:space="preserve">A </w:t>
      </w:r>
      <w:r w:rsidR="009E0A52" w:rsidRPr="00A641F2">
        <w:t>capped-price</w:t>
      </w:r>
      <w:r w:rsidRPr="00A641F2">
        <w:t xml:space="preserve"> task requires a task budget that includes:</w:t>
      </w:r>
    </w:p>
    <w:p w14:paraId="201B98D6" w14:textId="77777777" w:rsidR="00EA0025" w:rsidRPr="007C5C65" w:rsidRDefault="00EA0025" w:rsidP="00023969">
      <w:pPr>
        <w:pStyle w:val="GuideSublistLv1-ASDEFCON"/>
        <w:numPr>
          <w:ilvl w:val="0"/>
          <w:numId w:val="38"/>
        </w:numPr>
      </w:pPr>
      <w:r w:rsidRPr="007C5C65">
        <w:t xml:space="preserve">the total amount of CSC </w:t>
      </w:r>
      <w:r w:rsidR="00D160C5" w:rsidRPr="007C5C65">
        <w:t xml:space="preserve">Service Hours </w:t>
      </w:r>
      <w:r w:rsidRPr="007C5C65">
        <w:t>to be used</w:t>
      </w:r>
      <w:r w:rsidR="00D160C5" w:rsidRPr="007C5C65">
        <w:t xml:space="preserve"> (with a breakdown by hours per labour category and skill level)</w:t>
      </w:r>
      <w:r w:rsidRPr="007C5C65">
        <w:t>;</w:t>
      </w:r>
    </w:p>
    <w:p w14:paraId="5DC31B90" w14:textId="77777777" w:rsidR="00EA0025" w:rsidRPr="00A641F2" w:rsidRDefault="00EA0025" w:rsidP="00023969">
      <w:pPr>
        <w:pStyle w:val="GuideSublistLv1-ASDEFCON"/>
      </w:pPr>
      <w:r w:rsidRPr="00A641F2">
        <w:t>a scheduled completion date; and</w:t>
      </w:r>
    </w:p>
    <w:p w14:paraId="21054AA4" w14:textId="77777777" w:rsidR="00EA0025" w:rsidRPr="00A641F2" w:rsidRDefault="00EA0025" w:rsidP="00023969">
      <w:pPr>
        <w:pStyle w:val="GuideSublistLv1-ASDEFCON"/>
      </w:pPr>
      <w:r w:rsidRPr="00A641F2">
        <w:t>a quotation for CSC Additional Resources (if any).</w:t>
      </w:r>
    </w:p>
    <w:p w14:paraId="630D3B8F" w14:textId="77777777" w:rsidR="00EA0025" w:rsidRPr="00A641F2" w:rsidRDefault="00EA0025" w:rsidP="00023969">
      <w:pPr>
        <w:pStyle w:val="GuideText-ASDEFCON"/>
      </w:pPr>
      <w:r w:rsidRPr="00A641F2">
        <w:t xml:space="preserve">If the </w:t>
      </w:r>
      <w:r w:rsidR="009E0A52" w:rsidRPr="00A641F2">
        <w:t>capped-price</w:t>
      </w:r>
      <w:r w:rsidRPr="00A641F2">
        <w:t xml:space="preserve"> task is not completed in accordance with the budget, then the task must be completed at the Contractor’s expense</w:t>
      </w:r>
      <w:r w:rsidR="00F0207C" w:rsidRPr="00A641F2">
        <w:t xml:space="preserve">.  In this situation the Contractor may use </w:t>
      </w:r>
      <w:r w:rsidRPr="00A641F2">
        <w:t xml:space="preserve">CSC personnel but </w:t>
      </w:r>
      <w:r w:rsidR="00F0207C" w:rsidRPr="00A641F2">
        <w:t>can</w:t>
      </w:r>
      <w:r w:rsidRPr="00A641F2">
        <w:t>not us</w:t>
      </w:r>
      <w:r w:rsidR="00F0207C" w:rsidRPr="00A641F2">
        <w:t>e any</w:t>
      </w:r>
      <w:r w:rsidRPr="00A641F2">
        <w:t xml:space="preserve"> hours </w:t>
      </w:r>
      <w:r w:rsidR="00F0207C" w:rsidRPr="00A641F2">
        <w:t xml:space="preserve">that have been </w:t>
      </w:r>
      <w:r w:rsidRPr="00A641F2">
        <w:t>allocated to other CSC Tasks</w:t>
      </w:r>
      <w:r w:rsidR="00F0207C" w:rsidRPr="00A641F2">
        <w:t xml:space="preserve"> or claim any additional CSC Fees</w:t>
      </w:r>
      <w:r w:rsidRPr="00A641F2">
        <w:t>.</w:t>
      </w:r>
    </w:p>
    <w:p w14:paraId="0DB2CFD1" w14:textId="4BB8FD52" w:rsidR="009C702E" w:rsidRPr="00A641F2" w:rsidRDefault="00EA0025">
      <w:pPr>
        <w:pStyle w:val="GuideText-ASDEFCON"/>
      </w:pPr>
      <w:r w:rsidRPr="00A641F2">
        <w:t xml:space="preserve">The Commonwealth may also choose to withhold up to 20% of the budget until the completion of a </w:t>
      </w:r>
      <w:r w:rsidR="009E0A52" w:rsidRPr="00A641F2">
        <w:t>capped-price</w:t>
      </w:r>
      <w:r w:rsidRPr="00A641F2">
        <w:t xml:space="preserve"> </w:t>
      </w:r>
      <w:r w:rsidR="001A12E5" w:rsidRPr="00A641F2">
        <w:t xml:space="preserve">task, similar to a </w:t>
      </w:r>
      <w:r w:rsidRPr="00A641F2">
        <w:t>completion</w:t>
      </w:r>
      <w:r w:rsidR="001A12E5" w:rsidRPr="00A641F2">
        <w:t xml:space="preserve"> milestone payment</w:t>
      </w:r>
      <w:r w:rsidRPr="00A641F2">
        <w:t>.  This aims to encourage the Contractor to complete the task</w:t>
      </w:r>
      <w:r w:rsidR="001A12E5" w:rsidRPr="00A641F2">
        <w:t>s</w:t>
      </w:r>
      <w:r w:rsidRPr="00A641F2">
        <w:t xml:space="preserve"> rather than</w:t>
      </w:r>
      <w:r w:rsidR="001A12E5" w:rsidRPr="00A641F2">
        <w:t>, for example, being paid for 99</w:t>
      </w:r>
      <w:r w:rsidRPr="00A641F2">
        <w:t xml:space="preserve">% </w:t>
      </w:r>
      <w:r w:rsidR="000515CE" w:rsidRPr="00A641F2">
        <w:t>based on</w:t>
      </w:r>
      <w:r w:rsidRPr="00A641F2">
        <w:t xml:space="preserve"> </w:t>
      </w:r>
      <w:r w:rsidR="00F0207C" w:rsidRPr="00A641F2">
        <w:t xml:space="preserve">the number of </w:t>
      </w:r>
      <w:r w:rsidRPr="00A641F2">
        <w:t xml:space="preserve">hours used but not completing </w:t>
      </w:r>
      <w:r w:rsidR="001A12E5" w:rsidRPr="00A641F2">
        <w:t>t</w:t>
      </w:r>
      <w:r w:rsidR="000515CE" w:rsidRPr="00A641F2">
        <w:t>he task because they are</w:t>
      </w:r>
      <w:r w:rsidR="00FF76D3" w:rsidRPr="00A641F2">
        <w:t xml:space="preserve"> actually</w:t>
      </w:r>
      <w:r w:rsidR="000515CE" w:rsidRPr="00A641F2">
        <w:t xml:space="preserve"> running over budget</w:t>
      </w:r>
      <w:r w:rsidRPr="00A641F2">
        <w:t>.</w:t>
      </w:r>
      <w:r w:rsidR="0006383A" w:rsidRPr="00A641F2">
        <w:t xml:space="preserve">  Refer to clause </w:t>
      </w:r>
      <w:r w:rsidR="00F567C3">
        <w:t>15</w:t>
      </w:r>
      <w:r w:rsidR="0006383A" w:rsidRPr="00A641F2">
        <w:t>.</w:t>
      </w:r>
      <w:r w:rsidR="00A94C7A" w:rsidRPr="00A641F2">
        <w:t>6</w:t>
      </w:r>
      <w:r w:rsidR="0006383A" w:rsidRPr="00A641F2">
        <w:t xml:space="preserve"> of the COC</w:t>
      </w:r>
      <w:r w:rsidR="00FF76D3" w:rsidRPr="00A641F2">
        <w:t xml:space="preserve"> in the </w:t>
      </w:r>
      <w:r w:rsidR="00FF76D3" w:rsidRPr="00A641F2">
        <w:rPr>
          <w:i/>
        </w:rPr>
        <w:t>CSC Module</w:t>
      </w:r>
      <w:r w:rsidR="0006383A" w:rsidRPr="00A641F2">
        <w:t>.</w:t>
      </w:r>
    </w:p>
    <w:p w14:paraId="1FDB49DD" w14:textId="68F9BC9E" w:rsidR="00FF2661" w:rsidRPr="00A641F2" w:rsidRDefault="00FF2661">
      <w:pPr>
        <w:pStyle w:val="GuideLV2Head-ASDEFCON"/>
      </w:pPr>
      <w:bookmarkStart w:id="60" w:name="_Toc423808625"/>
      <w:bookmarkStart w:id="61" w:name="_Toc519256350"/>
      <w:bookmarkStart w:id="62" w:name="_Toc519256733"/>
      <w:bookmarkStart w:id="63" w:name="_Toc522618361"/>
      <w:bookmarkStart w:id="64" w:name="_Toc84506574"/>
      <w:r w:rsidRPr="00A641F2">
        <w:t>CSC and Key Persons</w:t>
      </w:r>
      <w:bookmarkEnd w:id="60"/>
      <w:bookmarkEnd w:id="61"/>
      <w:bookmarkEnd w:id="62"/>
      <w:bookmarkEnd w:id="63"/>
      <w:bookmarkEnd w:id="64"/>
    </w:p>
    <w:p w14:paraId="3AAD5AF5" w14:textId="77777777" w:rsidR="00FF2661" w:rsidRPr="00A641F2" w:rsidRDefault="00FF2661">
      <w:pPr>
        <w:pStyle w:val="GuideText-ASDEFCON"/>
      </w:pPr>
      <w:r w:rsidRPr="00A641F2">
        <w:t xml:space="preserve">In accordance with </w:t>
      </w:r>
      <w:r w:rsidR="00F24877" w:rsidRPr="00A641F2">
        <w:t>DSD-ENG-CSC, SOW clause 9.1</w:t>
      </w:r>
      <w:r w:rsidR="00FF76D3" w:rsidRPr="00A641F2">
        <w:t xml:space="preserve"> </w:t>
      </w:r>
      <w:r w:rsidR="00FD49E5" w:rsidRPr="00A641F2">
        <w:t>and an Approved Contractor Engineering Management Plan (CEMP)</w:t>
      </w:r>
      <w:r w:rsidR="00E843E2" w:rsidRPr="00A641F2">
        <w:t>,</w:t>
      </w:r>
      <w:r w:rsidRPr="00A641F2">
        <w:t xml:space="preserve"> CSC Personnel should generally be managed as Key Persons.  The use of Key Persons in this regard is appropriate, given the intent of the CSC</w:t>
      </w:r>
      <w:r w:rsidR="00BB3DDA" w:rsidRPr="00A641F2">
        <w:t>, at least in part, is</w:t>
      </w:r>
      <w:r w:rsidRPr="00A641F2">
        <w:t xml:space="preserve"> in relation to retaining and maintaining </w:t>
      </w:r>
      <w:r w:rsidR="00BB3DDA" w:rsidRPr="00A641F2">
        <w:t xml:space="preserve">the critical knowledge and </w:t>
      </w:r>
      <w:r w:rsidRPr="00A641F2">
        <w:t>core skills</w:t>
      </w:r>
      <w:r w:rsidR="00BB3DDA" w:rsidRPr="00A641F2">
        <w:t xml:space="preserve"> needed to efficiently sustain the Materiel System</w:t>
      </w:r>
      <w:r w:rsidRPr="00A641F2">
        <w:t>.  Where the CSC is large however, it may be appropriate to only manage the more significant CSC</w:t>
      </w:r>
      <w:r w:rsidR="00F24877" w:rsidRPr="00A641F2">
        <w:t xml:space="preserve"> positions</w:t>
      </w:r>
      <w:r w:rsidRPr="00A641F2">
        <w:t xml:space="preserve"> as Key Persons</w:t>
      </w:r>
      <w:r w:rsidR="00F24877" w:rsidRPr="00A641F2">
        <w:t>, such as team leaders</w:t>
      </w:r>
      <w:r w:rsidRPr="00A641F2">
        <w:t>.</w:t>
      </w:r>
    </w:p>
    <w:p w14:paraId="27874145" w14:textId="7298362D" w:rsidR="009C702E" w:rsidRPr="00A641F2" w:rsidRDefault="004B681D">
      <w:pPr>
        <w:pStyle w:val="GuideLV2Head-ASDEFCON"/>
      </w:pPr>
      <w:bookmarkStart w:id="65" w:name="_Toc423808626"/>
      <w:bookmarkStart w:id="66" w:name="_Toc519256351"/>
      <w:bookmarkStart w:id="67" w:name="_Toc519256734"/>
      <w:bookmarkStart w:id="68" w:name="_Toc522618362"/>
      <w:bookmarkStart w:id="69" w:name="_Toc84506575"/>
      <w:r w:rsidRPr="00A641F2">
        <w:t xml:space="preserve">Payment </w:t>
      </w:r>
      <w:r w:rsidR="001923D0" w:rsidRPr="00A641F2">
        <w:t>of the CSC Fee</w:t>
      </w:r>
      <w:bookmarkEnd w:id="65"/>
      <w:bookmarkEnd w:id="66"/>
      <w:bookmarkEnd w:id="67"/>
      <w:bookmarkEnd w:id="68"/>
      <w:bookmarkEnd w:id="69"/>
    </w:p>
    <w:p w14:paraId="0ADFCCDC" w14:textId="03D13EFC" w:rsidR="004B681D" w:rsidRPr="00A641F2" w:rsidRDefault="001923D0">
      <w:pPr>
        <w:pStyle w:val="GuideText-ASDEFCON"/>
      </w:pPr>
      <w:r w:rsidRPr="00A641F2">
        <w:t xml:space="preserve">All </w:t>
      </w:r>
      <w:r w:rsidR="004B681D" w:rsidRPr="00A641F2">
        <w:t xml:space="preserve">CSC </w:t>
      </w:r>
      <w:r w:rsidR="007412F3" w:rsidRPr="00A641F2">
        <w:t>Personnel</w:t>
      </w:r>
      <w:r w:rsidR="004B681D" w:rsidRPr="00A641F2">
        <w:t>, by category of labour and skill level, and their respective hourly rates</w:t>
      </w:r>
      <w:r w:rsidR="007412F3" w:rsidRPr="00A641F2">
        <w:t>,</w:t>
      </w:r>
      <w:r w:rsidR="004B681D" w:rsidRPr="00A641F2">
        <w:t xml:space="preserve"> are specified in Annex </w:t>
      </w:r>
      <w:r w:rsidR="00295C0E">
        <w:t>G</w:t>
      </w:r>
      <w:r w:rsidR="004B681D" w:rsidRPr="00A641F2">
        <w:t xml:space="preserve"> to Attachment B (developed from the</w:t>
      </w:r>
      <w:r w:rsidR="008639B8">
        <w:t xml:space="preserve"> SPTPW for the</w:t>
      </w:r>
      <w:r w:rsidR="004B681D" w:rsidRPr="00A641F2">
        <w:t xml:space="preserve"> preferred tender response).  The prices per category are totalled per annum</w:t>
      </w:r>
      <w:r w:rsidRPr="00A641F2">
        <w:t>,</w:t>
      </w:r>
      <w:r w:rsidR="004B681D" w:rsidRPr="00A641F2">
        <w:t xml:space="preserve"> and </w:t>
      </w:r>
      <w:r w:rsidRPr="00A641F2">
        <w:t xml:space="preserve">then </w:t>
      </w:r>
      <w:r w:rsidR="004B681D" w:rsidRPr="00A641F2">
        <w:t xml:space="preserve">a monthly CSC Fee </w:t>
      </w:r>
      <w:r w:rsidR="004909B1" w:rsidRPr="00A641F2">
        <w:t xml:space="preserve">is </w:t>
      </w:r>
      <w:r w:rsidR="004B681D" w:rsidRPr="00A641F2">
        <w:t>determined.</w:t>
      </w:r>
      <w:r w:rsidR="004909B1" w:rsidRPr="00A641F2">
        <w:t xml:space="preserve">  </w:t>
      </w:r>
      <w:r w:rsidR="002B5953" w:rsidRPr="00A641F2">
        <w:t>The Commonwealth then pays the CSC Fee, monthly on account, on the condition that:</w:t>
      </w:r>
    </w:p>
    <w:p w14:paraId="46C2D0C3" w14:textId="77777777" w:rsidR="002B5953" w:rsidRPr="00A641F2" w:rsidRDefault="002B5953" w:rsidP="00023969">
      <w:pPr>
        <w:pStyle w:val="GuideSublistLv1-ASDEFCON"/>
        <w:numPr>
          <w:ilvl w:val="0"/>
          <w:numId w:val="39"/>
        </w:numPr>
      </w:pPr>
      <w:r w:rsidRPr="00A641F2">
        <w:t xml:space="preserve">the Contractor provided </w:t>
      </w:r>
      <w:r w:rsidR="0079763D" w:rsidRPr="00A641F2">
        <w:t xml:space="preserve">the </w:t>
      </w:r>
      <w:r w:rsidRPr="00A641F2">
        <w:t xml:space="preserve">CSC </w:t>
      </w:r>
      <w:r w:rsidR="00F24877" w:rsidRPr="00A641F2">
        <w:t xml:space="preserve">Personnel </w:t>
      </w:r>
      <w:r w:rsidRPr="00A641F2">
        <w:t xml:space="preserve">for the required number of </w:t>
      </w:r>
      <w:r w:rsidR="00F24877" w:rsidRPr="00A641F2">
        <w:t xml:space="preserve">CSC Service Hours </w:t>
      </w:r>
      <w:r w:rsidRPr="00A641F2">
        <w:t xml:space="preserve">for the </w:t>
      </w:r>
      <w:r w:rsidR="001923D0" w:rsidRPr="00A641F2">
        <w:t xml:space="preserve">six-month </w:t>
      </w:r>
      <w:r w:rsidRPr="00A641F2">
        <w:t>CSC Period</w:t>
      </w:r>
      <w:r w:rsidR="007412F3" w:rsidRPr="00A641F2">
        <w:t xml:space="preserve"> (if not, an adjustment is made)</w:t>
      </w:r>
      <w:r w:rsidRPr="00A641F2">
        <w:t>; and</w:t>
      </w:r>
    </w:p>
    <w:p w14:paraId="3ACFB590" w14:textId="77777777" w:rsidR="002B5953" w:rsidRPr="00A641F2" w:rsidRDefault="002B5953" w:rsidP="00023969">
      <w:pPr>
        <w:pStyle w:val="GuideSublistLv1-ASDEFCON"/>
      </w:pPr>
      <w:r w:rsidRPr="00A641F2">
        <w:t xml:space="preserve">the Commonwealth does not pay for work on </w:t>
      </w:r>
      <w:r w:rsidR="00CC4148" w:rsidRPr="00A641F2">
        <w:t xml:space="preserve">CSC Capped Price </w:t>
      </w:r>
      <w:r w:rsidRPr="00A641F2">
        <w:t>Tasks whe</w:t>
      </w:r>
      <w:r w:rsidR="001923D0" w:rsidRPr="00A641F2">
        <w:t>n</w:t>
      </w:r>
      <w:r w:rsidRPr="00A641F2">
        <w:t xml:space="preserve"> the </w:t>
      </w:r>
      <w:r w:rsidR="001923D0" w:rsidRPr="00A641F2">
        <w:t xml:space="preserve">Contractor </w:t>
      </w:r>
      <w:r w:rsidR="0079763D" w:rsidRPr="00A641F2">
        <w:t>has exceeded the cap</w:t>
      </w:r>
      <w:r w:rsidR="003B2AE1" w:rsidRPr="00A641F2">
        <w:t xml:space="preserve"> (note that </w:t>
      </w:r>
      <w:r w:rsidR="00F24877" w:rsidRPr="00A641F2">
        <w:t xml:space="preserve">a final percentage </w:t>
      </w:r>
      <w:r w:rsidR="003B2AE1" w:rsidRPr="00A641F2">
        <w:t xml:space="preserve">of payment for a </w:t>
      </w:r>
      <w:r w:rsidR="00CC4148" w:rsidRPr="00A641F2">
        <w:t xml:space="preserve">CSC Capped Price </w:t>
      </w:r>
      <w:r w:rsidR="003B2AE1" w:rsidRPr="00A641F2">
        <w:t xml:space="preserve">Task may </w:t>
      </w:r>
      <w:r w:rsidR="00F24877" w:rsidRPr="00A641F2">
        <w:t xml:space="preserve">be </w:t>
      </w:r>
      <w:r w:rsidR="003B2AE1" w:rsidRPr="00A641F2">
        <w:t xml:space="preserve">temporarily </w:t>
      </w:r>
      <w:r w:rsidR="00F24877" w:rsidRPr="00A641F2">
        <w:t>withheld until completion</w:t>
      </w:r>
      <w:r w:rsidR="003B2AE1" w:rsidRPr="00A641F2">
        <w:t xml:space="preserve"> of the ta</w:t>
      </w:r>
      <w:r w:rsidR="00CC4148" w:rsidRPr="00A641F2">
        <w:t>s</w:t>
      </w:r>
      <w:r w:rsidR="003B2AE1" w:rsidRPr="00A641F2">
        <w:t>k</w:t>
      </w:r>
      <w:r w:rsidR="00F24877" w:rsidRPr="00A641F2">
        <w:t>)</w:t>
      </w:r>
      <w:r w:rsidRPr="00A641F2">
        <w:t>.</w:t>
      </w:r>
    </w:p>
    <w:p w14:paraId="4D751E4B" w14:textId="12DB1B8B" w:rsidR="004909B1" w:rsidRPr="00A641F2" w:rsidRDefault="002B5953" w:rsidP="00023969">
      <w:pPr>
        <w:pStyle w:val="GuideText-ASDEFCON"/>
      </w:pPr>
      <w:r w:rsidRPr="00A641F2">
        <w:t xml:space="preserve">If the Contractor does not provide CSC </w:t>
      </w:r>
      <w:r w:rsidR="007412F3" w:rsidRPr="00A641F2">
        <w:t xml:space="preserve">Personnel </w:t>
      </w:r>
      <w:r w:rsidRPr="00A641F2">
        <w:t xml:space="preserve">for the </w:t>
      </w:r>
      <w:r w:rsidR="0078573E" w:rsidRPr="00A641F2">
        <w:t xml:space="preserve">specified </w:t>
      </w:r>
      <w:r w:rsidRPr="00A641F2">
        <w:t xml:space="preserve">number of hours (eg, they provide only nine personnel instead of 10), then at the end of the six-month CSC Period the CSC Fee is reduced </w:t>
      </w:r>
      <w:r w:rsidR="0078573E" w:rsidRPr="00A641F2">
        <w:t>in</w:t>
      </w:r>
      <w:r w:rsidRPr="00A641F2">
        <w:t xml:space="preserve"> tha</w:t>
      </w:r>
      <w:r w:rsidR="0078573E" w:rsidRPr="00A641F2">
        <w:t xml:space="preserve">t month to effect </w:t>
      </w:r>
      <w:r w:rsidR="0045298A" w:rsidRPr="00A641F2">
        <w:t>an</w:t>
      </w:r>
      <w:r w:rsidR="0078573E" w:rsidRPr="00A641F2">
        <w:t xml:space="preserve"> appropriate</w:t>
      </w:r>
      <w:r w:rsidRPr="00A641F2">
        <w:t xml:space="preserve"> </w:t>
      </w:r>
      <w:r w:rsidR="0045298A" w:rsidRPr="00A641F2">
        <w:t xml:space="preserve">price </w:t>
      </w:r>
      <w:r w:rsidRPr="00A641F2">
        <w:t xml:space="preserve">adjustment </w:t>
      </w:r>
      <w:r w:rsidR="0079763D" w:rsidRPr="00A641F2">
        <w:t xml:space="preserve">for the CSC Period </w:t>
      </w:r>
      <w:r w:rsidR="001923D0" w:rsidRPr="00A641F2">
        <w:t>(</w:t>
      </w:r>
      <w:r w:rsidR="0078573E" w:rsidRPr="00A641F2">
        <w:t xml:space="preserve">refer </w:t>
      </w:r>
      <w:r w:rsidRPr="00A641F2">
        <w:t xml:space="preserve">COC clause </w:t>
      </w:r>
      <w:r w:rsidR="00F567C3">
        <w:t>15</w:t>
      </w:r>
      <w:r w:rsidR="00FE7603" w:rsidRPr="00A641F2">
        <w:t>.</w:t>
      </w:r>
      <w:r w:rsidR="003B2AE1" w:rsidRPr="00A641F2">
        <w:t>5</w:t>
      </w:r>
      <w:r w:rsidR="001923D0" w:rsidRPr="00A641F2">
        <w:t>)</w:t>
      </w:r>
      <w:r w:rsidR="004909B1" w:rsidRPr="00A641F2">
        <w:t>.</w:t>
      </w:r>
    </w:p>
    <w:p w14:paraId="2117F9F1" w14:textId="77777777" w:rsidR="00286EDD" w:rsidRPr="00A641F2" w:rsidRDefault="00CC4148" w:rsidP="00023969">
      <w:pPr>
        <w:pStyle w:val="GuideText-ASDEFCON"/>
      </w:pPr>
      <w:r w:rsidRPr="00A641F2">
        <w:t xml:space="preserve">CSC </w:t>
      </w:r>
      <w:r w:rsidR="002444E2" w:rsidRPr="00A641F2">
        <w:t>Capped</w:t>
      </w:r>
      <w:r w:rsidRPr="00A641F2">
        <w:t xml:space="preserve"> P</w:t>
      </w:r>
      <w:r w:rsidR="00BB3DDA" w:rsidRPr="00A641F2">
        <w:t xml:space="preserve">rice </w:t>
      </w:r>
      <w:r w:rsidR="002444E2" w:rsidRPr="00A641F2">
        <w:t xml:space="preserve">Tasks encourage task completion </w:t>
      </w:r>
      <w:r w:rsidR="0079763D" w:rsidRPr="00A641F2">
        <w:t xml:space="preserve">and </w:t>
      </w:r>
      <w:r w:rsidR="003F3D22" w:rsidRPr="00A641F2">
        <w:t>help to manage</w:t>
      </w:r>
      <w:r w:rsidR="002444E2" w:rsidRPr="00A641F2">
        <w:t xml:space="preserve"> risk when </w:t>
      </w:r>
      <w:r w:rsidR="001923D0" w:rsidRPr="00A641F2">
        <w:t>scope</w:t>
      </w:r>
      <w:r w:rsidR="002444E2" w:rsidRPr="00A641F2">
        <w:t xml:space="preserve"> cannot be </w:t>
      </w:r>
      <w:r w:rsidR="001923D0" w:rsidRPr="00A641F2">
        <w:t xml:space="preserve">set </w:t>
      </w:r>
      <w:r w:rsidR="0079763D" w:rsidRPr="00A641F2">
        <w:t>accurately (eg, to develop an Engineering Change Proposal)</w:t>
      </w:r>
      <w:r w:rsidR="002444E2" w:rsidRPr="00A641F2">
        <w:t xml:space="preserve">.  </w:t>
      </w:r>
      <w:r w:rsidR="0079763D" w:rsidRPr="00A641F2">
        <w:t xml:space="preserve">For the Commonwealth, this avoids an </w:t>
      </w:r>
      <w:r w:rsidR="001923D0" w:rsidRPr="00A641F2">
        <w:t>unquantified</w:t>
      </w:r>
      <w:r w:rsidR="0079763D" w:rsidRPr="00A641F2">
        <w:t xml:space="preserve"> </w:t>
      </w:r>
      <w:r w:rsidR="003B2AE1" w:rsidRPr="00A641F2">
        <w:t>T&amp;M</w:t>
      </w:r>
      <w:r w:rsidR="0079763D" w:rsidRPr="00A641F2">
        <w:t xml:space="preserve"> task </w:t>
      </w:r>
      <w:r w:rsidR="003F3D22" w:rsidRPr="00A641F2">
        <w:t>or</w:t>
      </w:r>
      <w:r w:rsidR="0079763D" w:rsidRPr="00A641F2">
        <w:t xml:space="preserve"> </w:t>
      </w:r>
      <w:r w:rsidR="00886898" w:rsidRPr="00A641F2">
        <w:t xml:space="preserve">a </w:t>
      </w:r>
      <w:r w:rsidR="001923D0" w:rsidRPr="00A641F2">
        <w:t xml:space="preserve">high level of </w:t>
      </w:r>
      <w:r w:rsidR="0079763D" w:rsidRPr="00A641F2">
        <w:t xml:space="preserve">contingency </w:t>
      </w:r>
      <w:r w:rsidR="003B2AE1" w:rsidRPr="00A641F2">
        <w:t>with</w:t>
      </w:r>
      <w:r w:rsidR="00886898" w:rsidRPr="00A641F2">
        <w:t>in</w:t>
      </w:r>
      <w:r w:rsidR="003F3D22" w:rsidRPr="00A641F2">
        <w:t xml:space="preserve"> a firm-price </w:t>
      </w:r>
      <w:r w:rsidR="00D00AE0" w:rsidRPr="00A641F2">
        <w:t>that is lost to the Commonwealth should the task be completed with fewer resources</w:t>
      </w:r>
      <w:r w:rsidR="0079763D" w:rsidRPr="00A641F2">
        <w:t xml:space="preserve">.  </w:t>
      </w:r>
      <w:r w:rsidR="00286EDD" w:rsidRPr="00A641F2">
        <w:t xml:space="preserve">The capped-price, including contingency, may be in the upper range of an hour / price estimate that is acceptable to the Commonwealth, because any unused CSC Service Hours (at task completion) will be made available for use by the Commonwealth on other CSC Tasks.  However, it may not be possible to reallocate CSC Additional Resources, so these need to be more closely scrutinised.  </w:t>
      </w:r>
    </w:p>
    <w:p w14:paraId="2FDC4C19" w14:textId="7ABC546C" w:rsidR="0045298A" w:rsidRPr="00A641F2" w:rsidRDefault="0045298A">
      <w:pPr>
        <w:pStyle w:val="GuideText-ASDEFCON"/>
      </w:pPr>
      <w:r w:rsidRPr="00A641F2">
        <w:t>To encourage complet</w:t>
      </w:r>
      <w:r w:rsidR="001923D0" w:rsidRPr="00A641F2">
        <w:t>ion</w:t>
      </w:r>
      <w:r w:rsidR="003B2AE1" w:rsidRPr="00A641F2">
        <w:t>,</w:t>
      </w:r>
      <w:r w:rsidRPr="00A641F2">
        <w:t xml:space="preserve"> up to 20% </w:t>
      </w:r>
      <w:r w:rsidR="003B2AE1" w:rsidRPr="00A641F2">
        <w:t xml:space="preserve">of the capped amount </w:t>
      </w:r>
      <w:r w:rsidR="00886898" w:rsidRPr="00A641F2">
        <w:t xml:space="preserve">(the </w:t>
      </w:r>
      <w:r w:rsidR="003B2AE1" w:rsidRPr="00A641F2">
        <w:t xml:space="preserve">actual </w:t>
      </w:r>
      <w:r w:rsidR="00886898" w:rsidRPr="00A641F2">
        <w:t xml:space="preserve">percentage is included in the individual CSC Task Plan) </w:t>
      </w:r>
      <w:r w:rsidRPr="00A641F2">
        <w:t xml:space="preserve">may be held until completion of the CSC Task (refer COC clause </w:t>
      </w:r>
      <w:r w:rsidR="00F567C3">
        <w:t>15</w:t>
      </w:r>
      <w:r w:rsidRPr="00A641F2">
        <w:t>.</w:t>
      </w:r>
      <w:r w:rsidR="003B2AE1" w:rsidRPr="00A641F2">
        <w:t>5)</w:t>
      </w:r>
      <w:r w:rsidRPr="00A641F2">
        <w:t xml:space="preserve">.  When an amount is being </w:t>
      </w:r>
      <w:r w:rsidR="003B2AE1" w:rsidRPr="00A641F2">
        <w:t>with</w:t>
      </w:r>
      <w:r w:rsidRPr="00A641F2">
        <w:t>held</w:t>
      </w:r>
      <w:r w:rsidR="00886898" w:rsidRPr="00A641F2">
        <w:t xml:space="preserve"> this reduces the </w:t>
      </w:r>
      <w:r w:rsidR="001923D0" w:rsidRPr="00A641F2">
        <w:t xml:space="preserve">baseline </w:t>
      </w:r>
      <w:r w:rsidR="00886898" w:rsidRPr="00A641F2">
        <w:t xml:space="preserve">CSC Fee paid </w:t>
      </w:r>
      <w:r w:rsidR="00286EDD" w:rsidRPr="00A641F2">
        <w:t>for</w:t>
      </w:r>
      <w:r w:rsidR="00886898" w:rsidRPr="00A641F2">
        <w:t xml:space="preserve"> that month</w:t>
      </w:r>
      <w:r w:rsidR="001660C5" w:rsidRPr="00A641F2">
        <w:t>,</w:t>
      </w:r>
      <w:r w:rsidR="00886898" w:rsidRPr="00A641F2">
        <w:t xml:space="preserve"> but upon </w:t>
      </w:r>
      <w:r w:rsidR="001660C5" w:rsidRPr="00A641F2">
        <w:t xml:space="preserve">completion of the </w:t>
      </w:r>
      <w:r w:rsidR="00886898" w:rsidRPr="00A641F2">
        <w:t xml:space="preserve">CSC Task the amount </w:t>
      </w:r>
      <w:r w:rsidR="001660C5" w:rsidRPr="00A641F2">
        <w:t>is added</w:t>
      </w:r>
      <w:r w:rsidR="00886898" w:rsidRPr="00A641F2">
        <w:t xml:space="preserve"> to the </w:t>
      </w:r>
      <w:r w:rsidR="001923D0" w:rsidRPr="00A641F2">
        <w:t xml:space="preserve">baseline </w:t>
      </w:r>
      <w:r w:rsidR="00886898" w:rsidRPr="00A641F2">
        <w:t xml:space="preserve">CSC Fee paid </w:t>
      </w:r>
      <w:r w:rsidR="001660C5" w:rsidRPr="00A641F2">
        <w:t>for</w:t>
      </w:r>
      <w:r w:rsidR="00886898" w:rsidRPr="00A641F2">
        <w:t xml:space="preserve"> that month.</w:t>
      </w:r>
    </w:p>
    <w:p w14:paraId="316021BE" w14:textId="77777777" w:rsidR="002444E2" w:rsidRPr="00A641F2" w:rsidRDefault="003F3D22">
      <w:pPr>
        <w:pStyle w:val="GuideText-ASDEFCON"/>
      </w:pPr>
      <w:r w:rsidRPr="00A641F2">
        <w:t xml:space="preserve">There is a risk to the Contractor if they underestimate </w:t>
      </w:r>
      <w:r w:rsidR="0083152A" w:rsidRPr="00A641F2">
        <w:t xml:space="preserve">a </w:t>
      </w:r>
      <w:r w:rsidRPr="00A641F2">
        <w:t xml:space="preserve">task in </w:t>
      </w:r>
      <w:r w:rsidR="001660C5" w:rsidRPr="00A641F2">
        <w:t xml:space="preserve">terms of </w:t>
      </w:r>
      <w:r w:rsidRPr="00A641F2">
        <w:t xml:space="preserve">CSC </w:t>
      </w:r>
      <w:r w:rsidR="0083152A" w:rsidRPr="00A641F2">
        <w:t xml:space="preserve">Service Hours </w:t>
      </w:r>
      <w:r w:rsidRPr="00A641F2">
        <w:t xml:space="preserve">and CSC Additional Resources.  Any overrun </w:t>
      </w:r>
      <w:r w:rsidR="0083152A" w:rsidRPr="00A641F2">
        <w:t xml:space="preserve">required to complete the </w:t>
      </w:r>
      <w:r w:rsidR="00286EDD" w:rsidRPr="00A641F2">
        <w:t xml:space="preserve">CSC Capped Price </w:t>
      </w:r>
      <w:r w:rsidR="0083152A" w:rsidRPr="00A641F2">
        <w:t xml:space="preserve">Task </w:t>
      </w:r>
      <w:r w:rsidRPr="00A641F2">
        <w:t xml:space="preserve">is at Contractor expense; </w:t>
      </w:r>
      <w:r w:rsidR="001923D0" w:rsidRPr="00A641F2">
        <w:t>so</w:t>
      </w:r>
      <w:r w:rsidRPr="00A641F2">
        <w:t xml:space="preserve"> if CSC </w:t>
      </w:r>
      <w:r w:rsidR="0083152A" w:rsidRPr="00A641F2">
        <w:t xml:space="preserve">Personnel </w:t>
      </w:r>
      <w:r w:rsidR="001923D0" w:rsidRPr="00A641F2">
        <w:t>a</w:t>
      </w:r>
      <w:r w:rsidR="001660C5" w:rsidRPr="00A641F2">
        <w:t>re used</w:t>
      </w:r>
      <w:r w:rsidRPr="00A641F2">
        <w:t xml:space="preserve"> </w:t>
      </w:r>
      <w:r w:rsidR="001660C5" w:rsidRPr="00A641F2">
        <w:t xml:space="preserve">to complete the task </w:t>
      </w:r>
      <w:r w:rsidR="001923D0" w:rsidRPr="00A641F2">
        <w:t xml:space="preserve">then </w:t>
      </w:r>
      <w:r w:rsidRPr="00A641F2">
        <w:t>th</w:t>
      </w:r>
      <w:r w:rsidR="001660C5" w:rsidRPr="00A641F2">
        <w:t>is</w:t>
      </w:r>
      <w:r w:rsidRPr="00A641F2">
        <w:t xml:space="preserve"> </w:t>
      </w:r>
      <w:r w:rsidR="001923D0" w:rsidRPr="00A641F2">
        <w:t xml:space="preserve">time </w:t>
      </w:r>
      <w:r w:rsidR="00286EDD" w:rsidRPr="00A641F2">
        <w:t>can</w:t>
      </w:r>
      <w:r w:rsidRPr="00A641F2">
        <w:t xml:space="preserve">not be included in the CSC </w:t>
      </w:r>
      <w:r w:rsidR="0083152A" w:rsidRPr="00A641F2">
        <w:t xml:space="preserve">Service Hours </w:t>
      </w:r>
      <w:r w:rsidR="007736EE" w:rsidRPr="00A641F2">
        <w:t xml:space="preserve">when </w:t>
      </w:r>
      <w:r w:rsidR="0083152A" w:rsidRPr="00A641F2">
        <w:t xml:space="preserve">reconciling </w:t>
      </w:r>
      <w:r w:rsidRPr="00A641F2">
        <w:t>the Contractor’s entitlement to the CSC Fee</w:t>
      </w:r>
      <w:r w:rsidR="007736EE" w:rsidRPr="00A641F2">
        <w:t xml:space="preserve"> at the end of the</w:t>
      </w:r>
      <w:r w:rsidR="001923D0" w:rsidRPr="00A641F2">
        <w:t xml:space="preserve"> CSC Period</w:t>
      </w:r>
      <w:r w:rsidRPr="00A641F2">
        <w:t>.</w:t>
      </w:r>
      <w:r w:rsidR="001660C5" w:rsidRPr="00A641F2">
        <w:t xml:space="preserve">  Note that </w:t>
      </w:r>
      <w:r w:rsidR="001923D0" w:rsidRPr="00A641F2">
        <w:t xml:space="preserve">if the scope of an existing </w:t>
      </w:r>
      <w:r w:rsidR="00286EDD" w:rsidRPr="00A641F2">
        <w:t xml:space="preserve">CSC Capped Price </w:t>
      </w:r>
      <w:r w:rsidR="001923D0" w:rsidRPr="00A641F2">
        <w:t xml:space="preserve">Task </w:t>
      </w:r>
      <w:r w:rsidR="007736EE" w:rsidRPr="00A641F2">
        <w:t>is</w:t>
      </w:r>
      <w:r w:rsidR="001923D0" w:rsidRPr="00A641F2">
        <w:t xml:space="preserve"> changed by the Commonwealth, then the price cap </w:t>
      </w:r>
      <w:r w:rsidR="0083152A" w:rsidRPr="00A641F2">
        <w:t xml:space="preserve">must </w:t>
      </w:r>
      <w:r w:rsidR="001923D0" w:rsidRPr="00A641F2">
        <w:t xml:space="preserve">be reviewed and </w:t>
      </w:r>
      <w:r w:rsidR="007736EE" w:rsidRPr="00A641F2">
        <w:t>changed</w:t>
      </w:r>
      <w:r w:rsidR="001923D0" w:rsidRPr="00A641F2">
        <w:t xml:space="preserve"> </w:t>
      </w:r>
      <w:r w:rsidR="00286EDD" w:rsidRPr="00A641F2">
        <w:t>when</w:t>
      </w:r>
      <w:r w:rsidR="001923D0" w:rsidRPr="00A641F2">
        <w:t xml:space="preserve"> </w:t>
      </w:r>
      <w:r w:rsidR="007736EE" w:rsidRPr="00A641F2">
        <w:t>appropriate</w:t>
      </w:r>
      <w:r w:rsidR="001923D0" w:rsidRPr="00A641F2">
        <w:t>.</w:t>
      </w:r>
    </w:p>
    <w:p w14:paraId="4FFB3483" w14:textId="77777777" w:rsidR="004909B1" w:rsidRPr="00A641F2" w:rsidRDefault="0078573E">
      <w:pPr>
        <w:pStyle w:val="GuideText-ASDEFCON"/>
      </w:pPr>
      <w:r w:rsidRPr="00A641F2">
        <w:t xml:space="preserve">Importantly, if CSC </w:t>
      </w:r>
      <w:r w:rsidR="0083152A" w:rsidRPr="00A641F2">
        <w:t xml:space="preserve">Personnel </w:t>
      </w:r>
      <w:r w:rsidRPr="00A641F2">
        <w:t xml:space="preserve">are provided but not fully utilised by the Commonwealth, </w:t>
      </w:r>
      <w:r w:rsidR="007736EE" w:rsidRPr="00A641F2">
        <w:t xml:space="preserve">then </w:t>
      </w:r>
      <w:r w:rsidRPr="00A641F2">
        <w:t xml:space="preserve">the CSC Fee is </w:t>
      </w:r>
      <w:r w:rsidR="002444E2" w:rsidRPr="00A641F2">
        <w:t xml:space="preserve">still </w:t>
      </w:r>
      <w:r w:rsidRPr="00A641F2">
        <w:t xml:space="preserve">paid on the </w:t>
      </w:r>
      <w:r w:rsidR="001660C5" w:rsidRPr="00A641F2">
        <w:t>basis</w:t>
      </w:r>
      <w:r w:rsidRPr="00A641F2">
        <w:t xml:space="preserve"> </w:t>
      </w:r>
      <w:r w:rsidR="00D17548" w:rsidRPr="00A641F2">
        <w:t>that</w:t>
      </w:r>
      <w:r w:rsidRPr="00A641F2">
        <w:t xml:space="preserve"> th</w:t>
      </w:r>
      <w:r w:rsidR="007736EE" w:rsidRPr="00A641F2">
        <w:t>os</w:t>
      </w:r>
      <w:r w:rsidRPr="00A641F2">
        <w:t xml:space="preserve">e personnel </w:t>
      </w:r>
      <w:r w:rsidR="00D17548" w:rsidRPr="00A641F2">
        <w:t>were</w:t>
      </w:r>
      <w:r w:rsidR="001660C5" w:rsidRPr="00A641F2">
        <w:t xml:space="preserve"> available</w:t>
      </w:r>
      <w:r w:rsidR="00D17548" w:rsidRPr="00A641F2">
        <w:t xml:space="preserve"> for tasking</w:t>
      </w:r>
      <w:r w:rsidRPr="00A641F2">
        <w:t>.</w:t>
      </w:r>
      <w:r w:rsidR="004909B1" w:rsidRPr="00A641F2">
        <w:t xml:space="preserve">  </w:t>
      </w:r>
      <w:r w:rsidR="007736EE" w:rsidRPr="00A641F2">
        <w:t xml:space="preserve">This requires Commonwealth </w:t>
      </w:r>
      <w:r w:rsidR="00D17548" w:rsidRPr="00A641F2">
        <w:t xml:space="preserve">to </w:t>
      </w:r>
      <w:r w:rsidR="007736EE" w:rsidRPr="00A641F2">
        <w:t>manage</w:t>
      </w:r>
      <w:r w:rsidR="00D17548" w:rsidRPr="00A641F2">
        <w:t xml:space="preserve"> the CSC</w:t>
      </w:r>
      <w:r w:rsidR="007736EE" w:rsidRPr="00A641F2">
        <w:t xml:space="preserve"> to ensure value for money</w:t>
      </w:r>
      <w:r w:rsidR="0083152A" w:rsidRPr="00A641F2">
        <w:t xml:space="preserve"> </w:t>
      </w:r>
      <w:r w:rsidR="00234803" w:rsidRPr="00A641F2">
        <w:t xml:space="preserve">by </w:t>
      </w:r>
      <w:r w:rsidR="00D17548" w:rsidRPr="00A641F2">
        <w:t xml:space="preserve">utilising </w:t>
      </w:r>
      <w:r w:rsidR="0083152A" w:rsidRPr="00A641F2">
        <w:t>the CSC</w:t>
      </w:r>
      <w:r w:rsidR="00234803" w:rsidRPr="00A641F2">
        <w:t xml:space="preserve"> efficiently.  This is also</w:t>
      </w:r>
      <w:r w:rsidR="007736EE" w:rsidRPr="00A641F2">
        <w:t xml:space="preserve"> wh</w:t>
      </w:r>
      <w:r w:rsidR="00234803" w:rsidRPr="00A641F2">
        <w:t>y</w:t>
      </w:r>
      <w:r w:rsidR="004909B1" w:rsidRPr="00A641F2">
        <w:t xml:space="preserve"> </w:t>
      </w:r>
      <w:r w:rsidR="001660C5" w:rsidRPr="00A641F2">
        <w:t>t</w:t>
      </w:r>
      <w:r w:rsidR="004909B1" w:rsidRPr="00A641F2">
        <w:t xml:space="preserve">he </w:t>
      </w:r>
      <w:r w:rsidR="001660C5" w:rsidRPr="00A641F2">
        <w:t>size</w:t>
      </w:r>
      <w:r w:rsidR="004909B1" w:rsidRPr="00A641F2">
        <w:t xml:space="preserve"> of the CSC would </w:t>
      </w:r>
      <w:r w:rsidR="001660C5" w:rsidRPr="00A641F2">
        <w:t>generally</w:t>
      </w:r>
      <w:r w:rsidR="004909B1" w:rsidRPr="00A641F2">
        <w:t xml:space="preserve"> be less than </w:t>
      </w:r>
      <w:r w:rsidR="00234803" w:rsidRPr="00A641F2">
        <w:t xml:space="preserve">that </w:t>
      </w:r>
      <w:r w:rsidR="001660C5" w:rsidRPr="00A641F2">
        <w:t xml:space="preserve">needed for </w:t>
      </w:r>
      <w:r w:rsidR="007736EE" w:rsidRPr="00A641F2">
        <w:t>the anticipated work load</w:t>
      </w:r>
      <w:r w:rsidR="004909B1" w:rsidRPr="00A641F2">
        <w:t xml:space="preserve"> </w:t>
      </w:r>
      <w:r w:rsidR="00234803" w:rsidRPr="00A641F2">
        <w:t xml:space="preserve">(to keep them fully occupied) </w:t>
      </w:r>
      <w:r w:rsidR="004909B1" w:rsidRPr="00A641F2">
        <w:t xml:space="preserve">with </w:t>
      </w:r>
      <w:r w:rsidR="007736EE" w:rsidRPr="00A641F2">
        <w:t>any</w:t>
      </w:r>
      <w:r w:rsidR="004909B1" w:rsidRPr="00A641F2">
        <w:t xml:space="preserve"> shortfall being </w:t>
      </w:r>
      <w:r w:rsidR="00234803" w:rsidRPr="00A641F2">
        <w:t>addressed through</w:t>
      </w:r>
      <w:r w:rsidR="007736EE" w:rsidRPr="00A641F2">
        <w:t xml:space="preserve"> </w:t>
      </w:r>
      <w:r w:rsidR="004909B1" w:rsidRPr="00A641F2">
        <w:t>CSC Additional Resources.</w:t>
      </w:r>
    </w:p>
    <w:p w14:paraId="731A7228" w14:textId="312CCF25" w:rsidR="00FF2661" w:rsidRPr="00A641F2" w:rsidRDefault="00FF2661">
      <w:pPr>
        <w:pStyle w:val="GuideLV2Head-ASDEFCON"/>
      </w:pPr>
      <w:bookmarkStart w:id="70" w:name="_Toc423808627"/>
      <w:bookmarkStart w:id="71" w:name="_Toc519256352"/>
      <w:bookmarkStart w:id="72" w:name="_Toc519256735"/>
      <w:bookmarkStart w:id="73" w:name="_Toc522618363"/>
      <w:bookmarkStart w:id="74" w:name="_Toc84506576"/>
      <w:r w:rsidRPr="00A641F2">
        <w:t>Tendering</w:t>
      </w:r>
      <w:r w:rsidR="00D17548" w:rsidRPr="00A641F2">
        <w:t xml:space="preserve"> and Commencement</w:t>
      </w:r>
      <w:bookmarkEnd w:id="70"/>
      <w:bookmarkEnd w:id="71"/>
      <w:bookmarkEnd w:id="72"/>
      <w:bookmarkEnd w:id="73"/>
      <w:bookmarkEnd w:id="74"/>
    </w:p>
    <w:p w14:paraId="589A704D" w14:textId="0D69F59C" w:rsidR="00D43F03" w:rsidRPr="00A641F2" w:rsidRDefault="00D43F03">
      <w:pPr>
        <w:pStyle w:val="GuideText-ASDEFCON"/>
      </w:pPr>
      <w:r w:rsidRPr="00A641F2">
        <w:t xml:space="preserve">Details for the CSC are requested through </w:t>
      </w:r>
      <w:r w:rsidR="00BA1BCC" w:rsidRPr="00A641F2">
        <w:t xml:space="preserve">additions to </w:t>
      </w:r>
      <w:r w:rsidRPr="00A641F2">
        <w:t>TDR D-1</w:t>
      </w:r>
      <w:r w:rsidR="000024A6">
        <w:t>3</w:t>
      </w:r>
      <w:r w:rsidR="00D77C5C" w:rsidRPr="00A641F2">
        <w:t xml:space="preserve">, for </w:t>
      </w:r>
      <w:r w:rsidR="0083152A" w:rsidRPr="00A641F2">
        <w:t xml:space="preserve">the CSC composition and </w:t>
      </w:r>
      <w:r w:rsidR="00D77C5C" w:rsidRPr="00A641F2">
        <w:t xml:space="preserve">pricing information, and </w:t>
      </w:r>
      <w:r w:rsidR="00BA1BCC" w:rsidRPr="00A641F2">
        <w:t xml:space="preserve">TDR </w:t>
      </w:r>
      <w:r w:rsidR="00D77C5C" w:rsidRPr="00A641F2">
        <w:t>E-1</w:t>
      </w:r>
      <w:r w:rsidR="000024A6">
        <w:t>5</w:t>
      </w:r>
      <w:r w:rsidR="00D77C5C" w:rsidRPr="00A641F2">
        <w:t xml:space="preserve">, for the </w:t>
      </w:r>
      <w:r w:rsidR="0083152A" w:rsidRPr="00A641F2">
        <w:t xml:space="preserve">rationale behind the proposed </w:t>
      </w:r>
      <w:r w:rsidR="00D77C5C" w:rsidRPr="00A641F2">
        <w:t>composition of the CSC</w:t>
      </w:r>
      <w:r w:rsidR="0083152A" w:rsidRPr="00A641F2">
        <w:t xml:space="preserve"> and</w:t>
      </w:r>
      <w:r w:rsidR="00D17548" w:rsidRPr="00A641F2">
        <w:t xml:space="preserve"> the</w:t>
      </w:r>
      <w:r w:rsidR="0083152A" w:rsidRPr="00A641F2">
        <w:t xml:space="preserve"> </w:t>
      </w:r>
      <w:r w:rsidR="005B2F6A" w:rsidRPr="00A641F2">
        <w:t>intended</w:t>
      </w:r>
      <w:r w:rsidR="0083152A" w:rsidRPr="00A641F2">
        <w:t xml:space="preserve"> management arrangements</w:t>
      </w:r>
      <w:r w:rsidRPr="00A641F2">
        <w:t>.</w:t>
      </w:r>
    </w:p>
    <w:p w14:paraId="37D318E8" w14:textId="25FFA487" w:rsidR="00D17548" w:rsidRPr="00A641F2" w:rsidRDefault="00FF2661">
      <w:pPr>
        <w:pStyle w:val="GuideText-ASDEFCON"/>
      </w:pPr>
      <w:r w:rsidRPr="00A641F2">
        <w:t xml:space="preserve">To enable each tenderer to provide a reasonable </w:t>
      </w:r>
      <w:r w:rsidR="00D17548" w:rsidRPr="00A641F2">
        <w:t xml:space="preserve">and comparable </w:t>
      </w:r>
      <w:r w:rsidR="005B2F6A" w:rsidRPr="00A641F2">
        <w:t xml:space="preserve">tender </w:t>
      </w:r>
      <w:r w:rsidRPr="00A641F2">
        <w:t>response, the Commonwealth must out</w:t>
      </w:r>
      <w:r w:rsidR="00FD49E5" w:rsidRPr="00A641F2">
        <w:t>line</w:t>
      </w:r>
      <w:r w:rsidRPr="00A641F2">
        <w:t xml:space="preserve"> a range of </w:t>
      </w:r>
      <w:r w:rsidR="005B2F6A" w:rsidRPr="00A641F2">
        <w:t xml:space="preserve">indicative </w:t>
      </w:r>
      <w:r w:rsidRPr="00A641F2">
        <w:t xml:space="preserve">tasks </w:t>
      </w:r>
      <w:r w:rsidR="00D17548" w:rsidRPr="00A641F2">
        <w:t xml:space="preserve">that </w:t>
      </w:r>
      <w:r w:rsidRPr="00A641F2">
        <w:t xml:space="preserve">the resultant Contractor </w:t>
      </w:r>
      <w:r w:rsidR="00D17548" w:rsidRPr="00A641F2">
        <w:t xml:space="preserve">may </w:t>
      </w:r>
      <w:r w:rsidRPr="00A641F2">
        <w:t xml:space="preserve">undertake </w:t>
      </w:r>
      <w:r w:rsidR="00FD49E5" w:rsidRPr="00A641F2">
        <w:t xml:space="preserve">during </w:t>
      </w:r>
      <w:r w:rsidR="00800585" w:rsidRPr="00A641F2">
        <w:t xml:space="preserve">the </w:t>
      </w:r>
      <w:r w:rsidR="00FD49E5" w:rsidRPr="00A641F2">
        <w:t xml:space="preserve">first </w:t>
      </w:r>
      <w:r w:rsidR="00800585" w:rsidRPr="00A641F2">
        <w:t>CSC Term</w:t>
      </w:r>
      <w:r w:rsidRPr="00A641F2">
        <w:t>.  For combined acquisition and support RFTs, this may be particularly difficult at the time of RFT release; hence, drafters should consider using Phase In to finalise the composition of the CSC, with provisions to this effect incorporated into COC clause 1.</w:t>
      </w:r>
      <w:r w:rsidR="00F95BE7">
        <w:t>5</w:t>
      </w:r>
      <w:r w:rsidR="00C77576" w:rsidRPr="00A641F2">
        <w:t>,</w:t>
      </w:r>
      <w:r w:rsidRPr="00A641F2">
        <w:t xml:space="preserve"> ‘Operative Date’</w:t>
      </w:r>
      <w:r w:rsidR="005B2F6A" w:rsidRPr="00A641F2">
        <w:t xml:space="preserve"> (OD)</w:t>
      </w:r>
      <w:r w:rsidRPr="00A641F2">
        <w:t>.</w:t>
      </w:r>
    </w:p>
    <w:p w14:paraId="386F5B71" w14:textId="35000DA8" w:rsidR="00FF2661" w:rsidRPr="00A641F2" w:rsidRDefault="00C77576">
      <w:pPr>
        <w:pStyle w:val="GuideText-ASDEFCON"/>
      </w:pPr>
      <w:r w:rsidRPr="00A641F2">
        <w:t>In addition, or as an alternative, t</w:t>
      </w:r>
      <w:r w:rsidR="00FF2661" w:rsidRPr="00A641F2">
        <w:t>he Commonwealth may wish to specify particular skills and experience for particular CSC Personnel</w:t>
      </w:r>
      <w:r w:rsidR="00727BA5" w:rsidRPr="00A641F2">
        <w:t xml:space="preserve"> (not necessarily the entire CSC team)</w:t>
      </w:r>
      <w:r w:rsidR="00FF2661" w:rsidRPr="00A641F2">
        <w:t xml:space="preserve">, </w:t>
      </w:r>
      <w:r w:rsidR="00EB79CB" w:rsidRPr="00A641F2">
        <w:t xml:space="preserve">which is often appropriate where </w:t>
      </w:r>
      <w:r w:rsidR="00D86C69">
        <w:t>CASG</w:t>
      </w:r>
      <w:r w:rsidR="00EB79CB" w:rsidRPr="00A641F2">
        <w:t xml:space="preserve"> </w:t>
      </w:r>
      <w:r w:rsidRPr="00A641F2">
        <w:t>want</w:t>
      </w:r>
      <w:r w:rsidR="00727BA5" w:rsidRPr="00A641F2">
        <w:t>s</w:t>
      </w:r>
      <w:r w:rsidRPr="00A641F2">
        <w:t xml:space="preserve"> </w:t>
      </w:r>
      <w:r w:rsidR="00EB79CB" w:rsidRPr="00A641F2">
        <w:t xml:space="preserve">the Contractor to retain knowledge </w:t>
      </w:r>
      <w:r w:rsidR="00E91A33" w:rsidRPr="00A641F2">
        <w:t xml:space="preserve">in </w:t>
      </w:r>
      <w:r w:rsidR="00EB79CB" w:rsidRPr="00A641F2">
        <w:t>relat</w:t>
      </w:r>
      <w:r w:rsidR="00E91A33" w:rsidRPr="00A641F2">
        <w:t>ion</w:t>
      </w:r>
      <w:r w:rsidR="00EB79CB" w:rsidRPr="00A641F2">
        <w:t xml:space="preserve"> to </w:t>
      </w:r>
      <w:r w:rsidR="00E91A33" w:rsidRPr="00A641F2">
        <w:t>a unique /</w:t>
      </w:r>
      <w:r w:rsidR="00EB79CB" w:rsidRPr="00A641F2">
        <w:t xml:space="preserve"> orphan</w:t>
      </w:r>
      <w:r w:rsidR="00E91A33" w:rsidRPr="00A641F2">
        <w:t>ed</w:t>
      </w:r>
      <w:r w:rsidR="00EB79CB" w:rsidRPr="00A641F2">
        <w:t xml:space="preserve"> </w:t>
      </w:r>
      <w:r w:rsidR="00230734" w:rsidRPr="00A641F2">
        <w:t>Materiel System</w:t>
      </w:r>
      <w:r w:rsidR="00EB79CB" w:rsidRPr="00A641F2">
        <w:t xml:space="preserve">.  Initially, this requirement can be included </w:t>
      </w:r>
      <w:r w:rsidRPr="00A641F2">
        <w:t xml:space="preserve">by </w:t>
      </w:r>
      <w:r w:rsidR="002265EF" w:rsidRPr="00A641F2">
        <w:t>an optional clause in</w:t>
      </w:r>
      <w:r w:rsidR="00EB79CB" w:rsidRPr="00A641F2">
        <w:t xml:space="preserve"> TDR</w:t>
      </w:r>
      <w:r w:rsidR="00800585" w:rsidRPr="00A641F2">
        <w:t xml:space="preserve"> </w:t>
      </w:r>
      <w:r w:rsidR="00D77C5C" w:rsidRPr="00A641F2">
        <w:t>E</w:t>
      </w:r>
      <w:r w:rsidR="002265EF" w:rsidRPr="00A641F2">
        <w:t>-1</w:t>
      </w:r>
      <w:r w:rsidR="008639B8">
        <w:t>5</w:t>
      </w:r>
      <w:r w:rsidR="00EB79CB" w:rsidRPr="00A641F2">
        <w:t xml:space="preserve">, </w:t>
      </w:r>
      <w:r w:rsidR="00D77C5C" w:rsidRPr="00A641F2">
        <w:t>but</w:t>
      </w:r>
      <w:r w:rsidR="00FF2661" w:rsidRPr="00A641F2">
        <w:t xml:space="preserve"> </w:t>
      </w:r>
      <w:r w:rsidR="00E91A33" w:rsidRPr="00A641F2">
        <w:t xml:space="preserve">could also </w:t>
      </w:r>
      <w:r w:rsidR="00FF2661" w:rsidRPr="00A641F2">
        <w:t>be captured as an annex to DSD</w:t>
      </w:r>
      <w:r w:rsidR="00EB79CB" w:rsidRPr="00A641F2">
        <w:t>-ENG-CSC</w:t>
      </w:r>
      <w:r w:rsidRPr="00A641F2">
        <w:t>,</w:t>
      </w:r>
      <w:r w:rsidR="00EB79CB" w:rsidRPr="00A641F2">
        <w:t xml:space="preserve"> for longer term</w:t>
      </w:r>
      <w:r w:rsidR="00E91A33" w:rsidRPr="00A641F2">
        <w:t xml:space="preserve"> reference</w:t>
      </w:r>
      <w:r w:rsidR="00FF2661" w:rsidRPr="00A641F2">
        <w:t xml:space="preserve">.  This information would supplement the initial task descriptions </w:t>
      </w:r>
      <w:r w:rsidRPr="00A641F2">
        <w:t xml:space="preserve">and enable </w:t>
      </w:r>
      <w:r w:rsidR="00FF2661" w:rsidRPr="00A641F2">
        <w:t xml:space="preserve">the tenderers </w:t>
      </w:r>
      <w:r w:rsidRPr="00A641F2">
        <w:t>to</w:t>
      </w:r>
      <w:r w:rsidR="00FF2661" w:rsidRPr="00A641F2">
        <w:t xml:space="preserve"> determin</w:t>
      </w:r>
      <w:r w:rsidRPr="00A641F2">
        <w:t>e</w:t>
      </w:r>
      <w:r w:rsidR="00FF2661" w:rsidRPr="00A641F2">
        <w:t xml:space="preserve"> </w:t>
      </w:r>
      <w:r w:rsidR="00205D76" w:rsidRPr="00A641F2">
        <w:t>an appropriate</w:t>
      </w:r>
      <w:r w:rsidR="00FF2661" w:rsidRPr="00A641F2">
        <w:t xml:space="preserve"> CSC size and skills mix.  The parties should subsequently </w:t>
      </w:r>
      <w:r w:rsidR="00230734" w:rsidRPr="00A641F2">
        <w:t xml:space="preserve">finalise </w:t>
      </w:r>
      <w:r w:rsidR="00FF2661" w:rsidRPr="00A641F2">
        <w:t xml:space="preserve">the </w:t>
      </w:r>
      <w:r w:rsidR="00230734" w:rsidRPr="00A641F2">
        <w:t xml:space="preserve">CSC </w:t>
      </w:r>
      <w:r w:rsidR="00FF2661" w:rsidRPr="00A641F2">
        <w:t>during negotiations.</w:t>
      </w:r>
    </w:p>
    <w:p w14:paraId="2313CBC1" w14:textId="164044D0" w:rsidR="002265EF" w:rsidRPr="00A641F2" w:rsidRDefault="002265EF">
      <w:pPr>
        <w:pStyle w:val="GuideText-ASDEFCON"/>
      </w:pPr>
      <w:r w:rsidRPr="00A641F2">
        <w:t xml:space="preserve">For a stand-alone Contract, where the scope of CSC </w:t>
      </w:r>
      <w:r w:rsidR="00230734" w:rsidRPr="00A641F2">
        <w:t xml:space="preserve">work </w:t>
      </w:r>
      <w:r w:rsidRPr="00A641F2">
        <w:t xml:space="preserve">can be reasonably </w:t>
      </w:r>
      <w:r w:rsidR="00280F51" w:rsidRPr="00A641F2">
        <w:t>estimated</w:t>
      </w:r>
      <w:r w:rsidRPr="00A641F2">
        <w:t xml:space="preserve">, the </w:t>
      </w:r>
      <w:r w:rsidR="00230734" w:rsidRPr="00A641F2">
        <w:t xml:space="preserve">indicative </w:t>
      </w:r>
      <w:r w:rsidRPr="00A641F2">
        <w:t>CSC Tasks in TDR</w:t>
      </w:r>
      <w:r w:rsidR="00800585" w:rsidRPr="00A641F2">
        <w:t xml:space="preserve"> </w:t>
      </w:r>
      <w:r w:rsidRPr="00A641F2">
        <w:t>E</w:t>
      </w:r>
      <w:r w:rsidR="00800585" w:rsidRPr="00A641F2">
        <w:noBreakHyphen/>
        <w:t>1</w:t>
      </w:r>
      <w:r w:rsidR="008639B8">
        <w:t>5</w:t>
      </w:r>
      <w:r w:rsidRPr="00A641F2">
        <w:t xml:space="preserve"> should enable tenderers </w:t>
      </w:r>
      <w:r w:rsidR="00230734" w:rsidRPr="00A641F2">
        <w:t xml:space="preserve">with sufficient information </w:t>
      </w:r>
      <w:r w:rsidRPr="00A641F2">
        <w:t xml:space="preserve">to propose </w:t>
      </w:r>
      <w:r w:rsidR="00280F51" w:rsidRPr="00A641F2">
        <w:t xml:space="preserve">staff numbers and skills </w:t>
      </w:r>
      <w:r w:rsidRPr="00A641F2">
        <w:t xml:space="preserve">for the CSC.  Pricing the CSC is </w:t>
      </w:r>
      <w:r w:rsidR="00230734" w:rsidRPr="00A641F2">
        <w:t>included</w:t>
      </w:r>
      <w:r w:rsidRPr="00A641F2">
        <w:t xml:space="preserve"> in response to TDR</w:t>
      </w:r>
      <w:r w:rsidR="00800585" w:rsidRPr="00A641F2">
        <w:t xml:space="preserve"> </w:t>
      </w:r>
      <w:r w:rsidRPr="00A641F2">
        <w:t>D</w:t>
      </w:r>
      <w:r w:rsidR="00800585" w:rsidRPr="00A641F2">
        <w:noBreakHyphen/>
        <w:t>1</w:t>
      </w:r>
      <w:r w:rsidR="008639B8">
        <w:t>3</w:t>
      </w:r>
      <w:r w:rsidR="00720BF3" w:rsidRPr="00A641F2">
        <w:t xml:space="preserve">, which </w:t>
      </w:r>
      <w:r w:rsidR="000024A6">
        <w:t xml:space="preserve">includes </w:t>
      </w:r>
      <w:r w:rsidR="00457F3C">
        <w:t xml:space="preserve">the table of CSC Fees </w:t>
      </w:r>
      <w:r w:rsidR="000024A6">
        <w:t>to be transferred into</w:t>
      </w:r>
      <w:r w:rsidRPr="00A641F2">
        <w:t xml:space="preserve"> Annex </w:t>
      </w:r>
      <w:r w:rsidR="000024A6">
        <w:t>G</w:t>
      </w:r>
      <w:r w:rsidRPr="00A641F2">
        <w:t xml:space="preserve"> to Attachment B</w:t>
      </w:r>
      <w:r w:rsidR="000024A6">
        <w:t xml:space="preserve"> for any resultant Contract</w:t>
      </w:r>
      <w:r w:rsidRPr="00A641F2">
        <w:t>.</w:t>
      </w:r>
    </w:p>
    <w:p w14:paraId="497C6C73" w14:textId="3A9C901E" w:rsidR="00FF2661" w:rsidRPr="00A641F2" w:rsidRDefault="002265EF">
      <w:pPr>
        <w:pStyle w:val="GuideText-ASDEFCON"/>
      </w:pPr>
      <w:r w:rsidRPr="00A641F2">
        <w:t xml:space="preserve">If the Contract is linked to a Contract (Acquisition), CSC requirements </w:t>
      </w:r>
      <w:r w:rsidR="00AB0975" w:rsidRPr="00A641F2">
        <w:t>are generally less well defined (as discussed above)</w:t>
      </w:r>
      <w:r w:rsidRPr="00A641F2">
        <w:t xml:space="preserve">, </w:t>
      </w:r>
      <w:r w:rsidR="00AB0975" w:rsidRPr="00A641F2">
        <w:t>which means that</w:t>
      </w:r>
      <w:r w:rsidRPr="00A641F2">
        <w:t xml:space="preserve"> the composition of the CSC </w:t>
      </w:r>
      <w:r w:rsidR="00720BF3" w:rsidRPr="00A641F2">
        <w:t xml:space="preserve">is unlikely to </w:t>
      </w:r>
      <w:r w:rsidR="00AB0975" w:rsidRPr="00A641F2">
        <w:t xml:space="preserve">be finalised </w:t>
      </w:r>
      <w:r w:rsidRPr="00A641F2">
        <w:t>in response to TDR</w:t>
      </w:r>
      <w:r w:rsidR="00720BF3" w:rsidRPr="00A641F2">
        <w:t xml:space="preserve"> </w:t>
      </w:r>
      <w:r w:rsidRPr="00A641F2">
        <w:t>E</w:t>
      </w:r>
      <w:r w:rsidR="00720BF3" w:rsidRPr="00A641F2">
        <w:noBreakHyphen/>
        <w:t>1</w:t>
      </w:r>
      <w:r w:rsidR="008639B8">
        <w:t>5</w:t>
      </w:r>
      <w:r w:rsidRPr="00A641F2">
        <w:t xml:space="preserve">. </w:t>
      </w:r>
      <w:r w:rsidR="00720BF3" w:rsidRPr="00A641F2">
        <w:t xml:space="preserve"> The r</w:t>
      </w:r>
      <w:r w:rsidRPr="00A641F2">
        <w:t xml:space="preserve">ates </w:t>
      </w:r>
      <w:r w:rsidR="00720BF3" w:rsidRPr="00A641F2">
        <w:t xml:space="preserve">provided </w:t>
      </w:r>
      <w:r w:rsidRPr="00A641F2">
        <w:t>in re</w:t>
      </w:r>
      <w:r w:rsidR="00AB0975" w:rsidRPr="00A641F2">
        <w:t>sponse to TDR</w:t>
      </w:r>
      <w:r w:rsidR="00720BF3" w:rsidRPr="00A641F2">
        <w:t xml:space="preserve"> </w:t>
      </w:r>
      <w:r w:rsidR="00AB0975" w:rsidRPr="00A641F2">
        <w:t>D</w:t>
      </w:r>
      <w:r w:rsidR="00720BF3" w:rsidRPr="00A641F2">
        <w:noBreakHyphen/>
        <w:t>1</w:t>
      </w:r>
      <w:r w:rsidR="008639B8">
        <w:t>3</w:t>
      </w:r>
      <w:r w:rsidRPr="00A641F2">
        <w:t xml:space="preserve"> </w:t>
      </w:r>
      <w:r w:rsidR="00720BF3" w:rsidRPr="00A641F2">
        <w:t>would still be applicable</w:t>
      </w:r>
      <w:r w:rsidRPr="00A641F2">
        <w:t xml:space="preserve"> but the </w:t>
      </w:r>
      <w:r w:rsidR="00AB0975" w:rsidRPr="00A641F2">
        <w:t xml:space="preserve">skills and </w:t>
      </w:r>
      <w:r w:rsidRPr="00A641F2">
        <w:t xml:space="preserve">numbers of </w:t>
      </w:r>
      <w:r w:rsidR="00720BF3" w:rsidRPr="00A641F2">
        <w:t>P</w:t>
      </w:r>
      <w:r w:rsidRPr="00A641F2">
        <w:t>ersonnel would need to be revisited</w:t>
      </w:r>
      <w:r w:rsidR="00205D76" w:rsidRPr="00A641F2">
        <w:t xml:space="preserve">, most likely after a </w:t>
      </w:r>
      <w:r w:rsidR="00071D2B">
        <w:t>‘</w:t>
      </w:r>
      <w:r w:rsidR="00205D76" w:rsidRPr="00A641F2">
        <w:t>Support System Detailed Design Review</w:t>
      </w:r>
      <w:r w:rsidR="00071D2B">
        <w:t>’</w:t>
      </w:r>
      <w:r w:rsidR="00205D76" w:rsidRPr="00A641F2">
        <w:t xml:space="preserve"> under the Contract (Acquisition) and</w:t>
      </w:r>
      <w:r w:rsidRPr="00A641F2">
        <w:t xml:space="preserve"> prior to the OD</w:t>
      </w:r>
      <w:r w:rsidR="00205D76" w:rsidRPr="00A641F2">
        <w:t xml:space="preserve"> under the Contract (Support)</w:t>
      </w:r>
      <w:r w:rsidRPr="00A641F2">
        <w:t xml:space="preserve">.  </w:t>
      </w:r>
      <w:r w:rsidR="00FF2661" w:rsidRPr="00A641F2">
        <w:t xml:space="preserve">Once the </w:t>
      </w:r>
      <w:r w:rsidR="00205D76" w:rsidRPr="00A641F2">
        <w:t>composition</w:t>
      </w:r>
      <w:r w:rsidR="00FF2661" w:rsidRPr="00A641F2">
        <w:t xml:space="preserve"> of </w:t>
      </w:r>
      <w:r w:rsidR="00205D76" w:rsidRPr="00A641F2">
        <w:t xml:space="preserve">the </w:t>
      </w:r>
      <w:r w:rsidR="00FF2661" w:rsidRPr="00A641F2">
        <w:t xml:space="preserve">CSC for the initial CSC Term </w:t>
      </w:r>
      <w:r w:rsidR="00205D76" w:rsidRPr="00A641F2">
        <w:t xml:space="preserve">is </w:t>
      </w:r>
      <w:r w:rsidR="00FF2661" w:rsidRPr="00A641F2">
        <w:t>agreed, a number of documents need to be updated, including:</w:t>
      </w:r>
    </w:p>
    <w:p w14:paraId="4559609A" w14:textId="4D109078" w:rsidR="00FF2661" w:rsidRPr="00A641F2" w:rsidRDefault="00FF2661" w:rsidP="00023969">
      <w:pPr>
        <w:pStyle w:val="GuideSublistLv1-ASDEFCON"/>
        <w:numPr>
          <w:ilvl w:val="0"/>
          <w:numId w:val="40"/>
        </w:numPr>
      </w:pPr>
      <w:r w:rsidRPr="00A641F2">
        <w:t xml:space="preserve">Annex </w:t>
      </w:r>
      <w:r w:rsidR="008639B8">
        <w:t>G</w:t>
      </w:r>
      <w:r w:rsidRPr="00A641F2">
        <w:t xml:space="preserve"> to Attachment B,</w:t>
      </w:r>
      <w:r w:rsidR="008639B8">
        <w:t xml:space="preserve"> for</w:t>
      </w:r>
      <w:r w:rsidRPr="00A641F2">
        <w:t xml:space="preserve"> </w:t>
      </w:r>
      <w:r w:rsidR="008639B8">
        <w:t>CSC</w:t>
      </w:r>
      <w:r w:rsidRPr="00A641F2">
        <w:t xml:space="preserve"> Pricing;</w:t>
      </w:r>
    </w:p>
    <w:p w14:paraId="10DBD235" w14:textId="77777777" w:rsidR="00FF2661" w:rsidRPr="00A641F2" w:rsidRDefault="00FF2661" w:rsidP="00023969">
      <w:pPr>
        <w:pStyle w:val="GuideSublistLv1-ASDEFCON"/>
      </w:pPr>
      <w:r w:rsidRPr="00A641F2">
        <w:t xml:space="preserve">the </w:t>
      </w:r>
      <w:r w:rsidR="003576BB" w:rsidRPr="00A641F2">
        <w:t xml:space="preserve">draft </w:t>
      </w:r>
      <w:r w:rsidRPr="00A641F2">
        <w:t>CEMP; and</w:t>
      </w:r>
    </w:p>
    <w:p w14:paraId="5C1C020F" w14:textId="77777777" w:rsidR="00FF2661" w:rsidRPr="00A641F2" w:rsidRDefault="00205D76" w:rsidP="00023969">
      <w:pPr>
        <w:pStyle w:val="GuideSublistLv1-ASDEFCON"/>
      </w:pPr>
      <w:r w:rsidRPr="00A641F2">
        <w:t xml:space="preserve">if necessary, </w:t>
      </w:r>
      <w:r w:rsidR="00FF2661" w:rsidRPr="00A641F2">
        <w:t xml:space="preserve">the </w:t>
      </w:r>
      <w:r w:rsidR="003576BB" w:rsidRPr="00A641F2">
        <w:t xml:space="preserve">draft </w:t>
      </w:r>
      <w:r w:rsidR="00FF2661" w:rsidRPr="00A641F2">
        <w:t>Support Services Management Plan (SSMP).</w:t>
      </w:r>
    </w:p>
    <w:p w14:paraId="3987EC3D" w14:textId="77777777" w:rsidR="00D17548" w:rsidRPr="00A641F2" w:rsidRDefault="00D17548" w:rsidP="00023969">
      <w:pPr>
        <w:pStyle w:val="GuideText-ASDEFCON"/>
      </w:pPr>
      <w:r w:rsidRPr="00A641F2">
        <w:t xml:space="preserve">The Phase In period should be used to propose and Approve the initial CSC Task Plans and the CSC Master Schedule, so that the CSC Tasks can commence as soon as possible (eg, </w:t>
      </w:r>
      <w:r w:rsidR="003576BB" w:rsidRPr="00A641F2">
        <w:t xml:space="preserve">if </w:t>
      </w:r>
      <w:r w:rsidRPr="00A641F2">
        <w:t xml:space="preserve">the CSC Commencement Date </w:t>
      </w:r>
      <w:r w:rsidR="003576BB" w:rsidRPr="00A641F2">
        <w:t>is</w:t>
      </w:r>
      <w:r w:rsidRPr="00A641F2">
        <w:t xml:space="preserve"> defined as occurring on the OD).  Where the Contract is linked to a Contract (Acquisition), which will have an on-going Engineering capability during system roll-out (</w:t>
      </w:r>
      <w:r w:rsidR="003576BB" w:rsidRPr="00A641F2">
        <w:t xml:space="preserve">and </w:t>
      </w:r>
      <w:r w:rsidRPr="00A641F2">
        <w:t xml:space="preserve">which includes warranty provisions for those systems already transitioned), it may be more appropriate to delay the CSC Commencement Date until sometime after the OD, or to commence with a small CSC </w:t>
      </w:r>
      <w:r w:rsidR="003576BB" w:rsidRPr="00A641F2">
        <w:t>for</w:t>
      </w:r>
      <w:r w:rsidRPr="00A641F2">
        <w:t xml:space="preserve"> the initial CSC Term and expand the team when the Contract (Acquisition) concludes.</w:t>
      </w:r>
    </w:p>
    <w:p w14:paraId="2E7EC47E" w14:textId="084F9851" w:rsidR="00FF2661" w:rsidRPr="00A641F2" w:rsidRDefault="00FF2661">
      <w:pPr>
        <w:pStyle w:val="GuideLV2Head-ASDEFCON"/>
      </w:pPr>
      <w:bookmarkStart w:id="75" w:name="_Toc423808628"/>
      <w:bookmarkStart w:id="76" w:name="_Toc519256353"/>
      <w:bookmarkStart w:id="77" w:name="_Toc519256736"/>
      <w:bookmarkStart w:id="78" w:name="_Toc522618364"/>
      <w:bookmarkStart w:id="79" w:name="_Toc84506577"/>
      <w:r w:rsidRPr="00A641F2">
        <w:t>Related Clauses/Documents</w:t>
      </w:r>
      <w:bookmarkEnd w:id="75"/>
      <w:bookmarkEnd w:id="76"/>
      <w:bookmarkEnd w:id="77"/>
      <w:bookmarkEnd w:id="78"/>
      <w:bookmarkEnd w:id="79"/>
    </w:p>
    <w:p w14:paraId="5044D191" w14:textId="77777777" w:rsidR="008E6FD0" w:rsidRPr="00A641F2" w:rsidRDefault="008E6FD0">
      <w:pPr>
        <w:pStyle w:val="GuideText-ASDEFCON"/>
      </w:pPr>
      <w:r w:rsidRPr="00A641F2">
        <w:t xml:space="preserve">The following clauses and documents </w:t>
      </w:r>
      <w:r w:rsidR="00205D76" w:rsidRPr="00A641F2">
        <w:t>are needed</w:t>
      </w:r>
      <w:r w:rsidRPr="00A641F2">
        <w:t xml:space="preserve"> to implement the CSC:</w:t>
      </w:r>
    </w:p>
    <w:p w14:paraId="7B287F90" w14:textId="77777777" w:rsidR="006904CE" w:rsidRPr="00E37FDB" w:rsidRDefault="006904CE" w:rsidP="00023969">
      <w:pPr>
        <w:pStyle w:val="GuideText-ASDEFCON"/>
        <w:ind w:firstLine="21"/>
      </w:pPr>
      <w:r w:rsidRPr="00E37FDB">
        <w:t>Conditions of Tender</w:t>
      </w:r>
    </w:p>
    <w:p w14:paraId="5BB2B9FC" w14:textId="3D1072CC" w:rsidR="006904CE" w:rsidRPr="00A641F2" w:rsidRDefault="003576BB" w:rsidP="00023969">
      <w:pPr>
        <w:pStyle w:val="GuideBullets-ASDEFCON"/>
      </w:pPr>
      <w:r w:rsidRPr="00A641F2">
        <w:t>TDR D</w:t>
      </w:r>
      <w:r w:rsidRPr="00A641F2">
        <w:noBreakHyphen/>
        <w:t>1</w:t>
      </w:r>
      <w:r w:rsidR="008639B8">
        <w:t>3</w:t>
      </w:r>
      <w:r w:rsidRPr="00A641F2">
        <w:t xml:space="preserve">, </w:t>
      </w:r>
      <w:r w:rsidR="008639B8">
        <w:t xml:space="preserve">in </w:t>
      </w:r>
      <w:r w:rsidR="001F49D9" w:rsidRPr="00A641F2">
        <w:t xml:space="preserve">Annex D to Attachment A to the COT, </w:t>
      </w:r>
      <w:r w:rsidR="006904CE" w:rsidRPr="00A641F2">
        <w:t>sets out the requirements for tenderers to provide financial information</w:t>
      </w:r>
      <w:r w:rsidR="001F49D9" w:rsidRPr="00A641F2">
        <w:t>,</w:t>
      </w:r>
      <w:r w:rsidR="006904CE" w:rsidRPr="00A641F2">
        <w:t xml:space="preserve"> </w:t>
      </w:r>
      <w:r w:rsidR="001F49D9" w:rsidRPr="00A641F2">
        <w:t xml:space="preserve">including </w:t>
      </w:r>
      <w:r w:rsidR="006904CE" w:rsidRPr="00A641F2">
        <w:t>in relation to the CSC.</w:t>
      </w:r>
    </w:p>
    <w:p w14:paraId="7295F05B" w14:textId="0F833BEA" w:rsidR="006904CE" w:rsidRPr="00A641F2" w:rsidRDefault="003576BB" w:rsidP="00023969">
      <w:pPr>
        <w:pStyle w:val="GuideBullets-ASDEFCON"/>
      </w:pPr>
      <w:r w:rsidRPr="00A641F2">
        <w:t>TDR E</w:t>
      </w:r>
      <w:r w:rsidRPr="00A641F2">
        <w:noBreakHyphen/>
        <w:t>1</w:t>
      </w:r>
      <w:r w:rsidR="008639B8">
        <w:t>5</w:t>
      </w:r>
      <w:r w:rsidRPr="00A641F2">
        <w:t xml:space="preserve">, </w:t>
      </w:r>
      <w:r w:rsidR="008639B8">
        <w:t xml:space="preserve">in </w:t>
      </w:r>
      <w:r w:rsidR="001F49D9" w:rsidRPr="00A641F2">
        <w:t xml:space="preserve">Annex E to Attachment A to the COT, </w:t>
      </w:r>
      <w:r w:rsidR="006904CE" w:rsidRPr="00A641F2">
        <w:t xml:space="preserve">sets out the requirements for tenderers to provide </w:t>
      </w:r>
      <w:r w:rsidR="008F375E" w:rsidRPr="00A641F2">
        <w:t>CSC</w:t>
      </w:r>
      <w:r w:rsidRPr="00A641F2">
        <w:t>-related</w:t>
      </w:r>
      <w:r w:rsidR="008F375E" w:rsidRPr="00A641F2">
        <w:t xml:space="preserve"> </w:t>
      </w:r>
      <w:r w:rsidR="006904CE" w:rsidRPr="00A641F2">
        <w:t>management information.</w:t>
      </w:r>
    </w:p>
    <w:p w14:paraId="7D32BDE7" w14:textId="77777777" w:rsidR="006904CE" w:rsidRPr="00E37FDB" w:rsidRDefault="006904CE" w:rsidP="00023969">
      <w:pPr>
        <w:pStyle w:val="GuideText-ASDEFCON"/>
        <w:ind w:firstLine="21"/>
      </w:pPr>
      <w:r w:rsidRPr="00E37FDB">
        <w:t>Conditions of Contract</w:t>
      </w:r>
    </w:p>
    <w:p w14:paraId="1EAC4806" w14:textId="3CC1DF9D" w:rsidR="006904CE" w:rsidRPr="00A641F2" w:rsidRDefault="006904CE" w:rsidP="00023969">
      <w:pPr>
        <w:pStyle w:val="GuideBullets-ASDEFCON"/>
      </w:pPr>
      <w:r w:rsidRPr="00A641F2">
        <w:t>COC clauses 1.</w:t>
      </w:r>
      <w:r w:rsidR="00F95BE7">
        <w:t>5</w:t>
      </w:r>
      <w:r w:rsidR="001E44BF">
        <w:t>, 1.11, 3.20, 7.1, 7.4</w:t>
      </w:r>
      <w:r w:rsidR="00F95BE7" w:rsidRPr="00A641F2">
        <w:t xml:space="preserve"> </w:t>
      </w:r>
      <w:r w:rsidR="00597EEF" w:rsidRPr="00A641F2">
        <w:t>and</w:t>
      </w:r>
      <w:r w:rsidRPr="00A641F2">
        <w:t xml:space="preserve"> 7.1</w:t>
      </w:r>
      <w:r w:rsidR="001E44BF">
        <w:t>4</w:t>
      </w:r>
      <w:r w:rsidRPr="00A641F2">
        <w:t xml:space="preserve"> </w:t>
      </w:r>
      <w:r w:rsidR="001E44BF">
        <w:t>require</w:t>
      </w:r>
      <w:r w:rsidR="001E44BF" w:rsidRPr="00A641F2">
        <w:t xml:space="preserve"> </w:t>
      </w:r>
      <w:r w:rsidRPr="00A641F2">
        <w:t>CSC-related additions.</w:t>
      </w:r>
    </w:p>
    <w:p w14:paraId="5253C075" w14:textId="74AC4BBF" w:rsidR="00FF2661" w:rsidRPr="00A641F2" w:rsidRDefault="00FF2661" w:rsidP="00023969">
      <w:pPr>
        <w:pStyle w:val="GuideBullets-ASDEFCON"/>
      </w:pPr>
      <w:r w:rsidRPr="00A641F2">
        <w:t xml:space="preserve">COC clause </w:t>
      </w:r>
      <w:r w:rsidR="00F567C3">
        <w:t>15</w:t>
      </w:r>
      <w:r w:rsidR="008E6FD0" w:rsidRPr="00A641F2">
        <w:t>,</w:t>
      </w:r>
      <w:r w:rsidRPr="00A641F2">
        <w:t xml:space="preserve"> provides the commercial terms associated with the CSC</w:t>
      </w:r>
      <w:r w:rsidR="001E44BF">
        <w:t xml:space="preserve"> itself</w:t>
      </w:r>
      <w:r w:rsidRPr="00A641F2">
        <w:t>.</w:t>
      </w:r>
    </w:p>
    <w:p w14:paraId="720B1DC5" w14:textId="04E6AB9A" w:rsidR="006904CE" w:rsidRPr="00E37FDB" w:rsidRDefault="006904CE" w:rsidP="00023969">
      <w:pPr>
        <w:pStyle w:val="GuideText-ASDEFCON"/>
        <w:ind w:firstLine="21"/>
      </w:pPr>
      <w:r w:rsidRPr="00E37FDB">
        <w:t xml:space="preserve">Attachment B, Annex </w:t>
      </w:r>
      <w:r w:rsidR="008639B8">
        <w:t>G</w:t>
      </w:r>
      <w:r w:rsidRPr="00E37FDB">
        <w:t xml:space="preserve">, CSC </w:t>
      </w:r>
      <w:r w:rsidR="008639B8">
        <w:t>Pricing</w:t>
      </w:r>
    </w:p>
    <w:p w14:paraId="2F820388" w14:textId="018B88B4" w:rsidR="00FF2661" w:rsidRPr="00A641F2" w:rsidRDefault="00FF2661" w:rsidP="00023969">
      <w:pPr>
        <w:pStyle w:val="GuideBullets-ASDEFCON"/>
      </w:pPr>
      <w:r w:rsidRPr="00A641F2">
        <w:t xml:space="preserve">Annex </w:t>
      </w:r>
      <w:r w:rsidR="008639B8">
        <w:t>G</w:t>
      </w:r>
      <w:r w:rsidRPr="00A641F2">
        <w:t xml:space="preserve"> to Attachment B, sets out the available hours and rates for </w:t>
      </w:r>
      <w:r w:rsidR="008E6FD0" w:rsidRPr="00A641F2">
        <w:t xml:space="preserve">each of </w:t>
      </w:r>
      <w:r w:rsidRPr="00A641F2">
        <w:t xml:space="preserve">the CSC </w:t>
      </w:r>
      <w:r w:rsidR="00EA3FA5" w:rsidRPr="00A641F2">
        <w:t xml:space="preserve">labour categories and </w:t>
      </w:r>
      <w:r w:rsidRPr="00A641F2">
        <w:t xml:space="preserve">skill </w:t>
      </w:r>
      <w:r w:rsidR="00EA3FA5" w:rsidRPr="00A641F2">
        <w:t>level</w:t>
      </w:r>
      <w:r w:rsidRPr="00A641F2">
        <w:t xml:space="preserve">s, </w:t>
      </w:r>
      <w:r w:rsidR="00205D76" w:rsidRPr="00A641F2">
        <w:t>other annual costs</w:t>
      </w:r>
      <w:r w:rsidRPr="00A641F2">
        <w:t xml:space="preserve">, and the </w:t>
      </w:r>
      <w:r w:rsidR="00205D76" w:rsidRPr="00A641F2">
        <w:t xml:space="preserve">monthly </w:t>
      </w:r>
      <w:r w:rsidRPr="00A641F2">
        <w:t>CSC</w:t>
      </w:r>
      <w:r w:rsidR="00205D76" w:rsidRPr="00A641F2">
        <w:t xml:space="preserve"> Fee</w:t>
      </w:r>
      <w:r w:rsidRPr="00A641F2">
        <w:t>.</w:t>
      </w:r>
      <w:r w:rsidR="006904CE" w:rsidRPr="00A641F2">
        <w:t xml:space="preserve"> This annex </w:t>
      </w:r>
      <w:r w:rsidR="00EA3FA5" w:rsidRPr="00A641F2">
        <w:t>is</w:t>
      </w:r>
      <w:r w:rsidR="006904CE" w:rsidRPr="00A641F2">
        <w:t xml:space="preserve"> populated </w:t>
      </w:r>
      <w:r w:rsidR="00EA3FA5" w:rsidRPr="00A641F2">
        <w:t xml:space="preserve">base on </w:t>
      </w:r>
      <w:r w:rsidR="006904CE" w:rsidRPr="00A641F2">
        <w:t xml:space="preserve">the response to </w:t>
      </w:r>
      <w:r w:rsidR="001F49D9" w:rsidRPr="00A641F2">
        <w:t>TDR D-1</w:t>
      </w:r>
      <w:r w:rsidR="008639B8">
        <w:t>3</w:t>
      </w:r>
      <w:r w:rsidR="006904CE" w:rsidRPr="00A641F2">
        <w:t>.</w:t>
      </w:r>
    </w:p>
    <w:p w14:paraId="29CE40B7" w14:textId="61080E6C" w:rsidR="006904CE" w:rsidRPr="00E37FDB" w:rsidRDefault="006904CE" w:rsidP="00023969">
      <w:pPr>
        <w:pStyle w:val="GuideText-ASDEFCON"/>
        <w:ind w:firstLine="21"/>
      </w:pPr>
      <w:r w:rsidRPr="00E37FDB">
        <w:t xml:space="preserve">Attachment B, Annex </w:t>
      </w:r>
      <w:r w:rsidR="008639B8">
        <w:t>F</w:t>
      </w:r>
      <w:r w:rsidRPr="00E37FDB">
        <w:t>, Rates for Survey and Quote Services</w:t>
      </w:r>
    </w:p>
    <w:p w14:paraId="68956AD2" w14:textId="0D1E2572" w:rsidR="00FF2661" w:rsidRPr="00A641F2" w:rsidRDefault="00FF2661" w:rsidP="00023969">
      <w:pPr>
        <w:pStyle w:val="GuideBullets-ASDEFCON"/>
      </w:pPr>
      <w:r w:rsidRPr="00A641F2">
        <w:t>Annex </w:t>
      </w:r>
      <w:r w:rsidR="008639B8">
        <w:t>F</w:t>
      </w:r>
      <w:r w:rsidRPr="00A641F2">
        <w:t xml:space="preserve"> to Attachment B, ‘Rates for Survey and Quote Services’ sets out the </w:t>
      </w:r>
      <w:r w:rsidR="008F375E" w:rsidRPr="00A641F2">
        <w:t xml:space="preserve">S&amp;Q </w:t>
      </w:r>
      <w:r w:rsidRPr="00A641F2">
        <w:t>rates</w:t>
      </w:r>
      <w:r w:rsidR="008F375E" w:rsidRPr="00A641F2">
        <w:t>, which are also</w:t>
      </w:r>
      <w:r w:rsidRPr="00A641F2">
        <w:t xml:space="preserve"> </w:t>
      </w:r>
      <w:r w:rsidR="008F375E" w:rsidRPr="00A641F2">
        <w:t xml:space="preserve">used </w:t>
      </w:r>
      <w:r w:rsidRPr="00A641F2">
        <w:t>for CSC Additional Resources.</w:t>
      </w:r>
    </w:p>
    <w:p w14:paraId="472FD8EC" w14:textId="77777777" w:rsidR="006904CE" w:rsidRPr="00E37FDB" w:rsidRDefault="006904CE" w:rsidP="00023969">
      <w:pPr>
        <w:pStyle w:val="GuideText-ASDEFCON"/>
        <w:ind w:firstLine="21"/>
      </w:pPr>
      <w:r w:rsidRPr="00E37FDB">
        <w:t>Attachment M, Glossary</w:t>
      </w:r>
    </w:p>
    <w:p w14:paraId="11A1BF63" w14:textId="77777777" w:rsidR="006904CE" w:rsidRPr="00A641F2" w:rsidRDefault="006904CE" w:rsidP="00023969">
      <w:pPr>
        <w:pStyle w:val="GuideBullets-ASDEFCON"/>
      </w:pPr>
      <w:r w:rsidRPr="00A641F2">
        <w:t>Several CSC-related definitions are to be added to the Glossary.</w:t>
      </w:r>
    </w:p>
    <w:p w14:paraId="0537F0CA" w14:textId="77777777" w:rsidR="006904CE" w:rsidRPr="00E37FDB" w:rsidRDefault="006904CE" w:rsidP="00023969">
      <w:pPr>
        <w:pStyle w:val="GuideText-ASDEFCON"/>
        <w:ind w:firstLine="21"/>
      </w:pPr>
      <w:r w:rsidRPr="00E37FDB">
        <w:t>Statement of Work</w:t>
      </w:r>
    </w:p>
    <w:p w14:paraId="4E1D3539" w14:textId="77777777" w:rsidR="006904CE" w:rsidRPr="00A641F2" w:rsidRDefault="006904CE" w:rsidP="00023969">
      <w:pPr>
        <w:pStyle w:val="GuideBullets-ASDEFCON"/>
      </w:pPr>
      <w:r w:rsidRPr="00A641F2">
        <w:t>SOW clause 5</w:t>
      </w:r>
      <w:r w:rsidR="00EA3FA5" w:rsidRPr="00A641F2">
        <w:t>,</w:t>
      </w:r>
      <w:r w:rsidRPr="00A641F2">
        <w:t xml:space="preserve"> </w:t>
      </w:r>
      <w:r w:rsidR="00FC4EA7" w:rsidRPr="00A641F2">
        <w:t>Engineering Support</w:t>
      </w:r>
      <w:r w:rsidR="00EA3FA5" w:rsidRPr="00A641F2">
        <w:t>,</w:t>
      </w:r>
      <w:r w:rsidR="00FC4EA7" w:rsidRPr="00A641F2">
        <w:t xml:space="preserve"> </w:t>
      </w:r>
      <w:r w:rsidRPr="00A641F2">
        <w:t xml:space="preserve">and </w:t>
      </w:r>
      <w:r w:rsidR="00D829A4" w:rsidRPr="00A641F2">
        <w:t xml:space="preserve">SOW </w:t>
      </w:r>
      <w:r w:rsidRPr="00A641F2">
        <w:t>Annex B</w:t>
      </w:r>
      <w:r w:rsidR="00EA3FA5" w:rsidRPr="00A641F2">
        <w:t>,</w:t>
      </w:r>
      <w:r w:rsidRPr="00A641F2">
        <w:t xml:space="preserve"> </w:t>
      </w:r>
      <w:r w:rsidR="00FC4EA7" w:rsidRPr="00A641F2">
        <w:t>the CSRL</w:t>
      </w:r>
      <w:r w:rsidR="00EA3FA5" w:rsidRPr="00A641F2">
        <w:t>,</w:t>
      </w:r>
      <w:r w:rsidR="00FC4EA7" w:rsidRPr="00A641F2">
        <w:t xml:space="preserve"> </w:t>
      </w:r>
      <w:r w:rsidRPr="00A641F2">
        <w:t>integrate DSD-ENG-CSC into the SOW.</w:t>
      </w:r>
    </w:p>
    <w:p w14:paraId="518F9C41" w14:textId="77777777" w:rsidR="00EB79CB" w:rsidRPr="00A641F2" w:rsidRDefault="00EB79CB" w:rsidP="00023969">
      <w:pPr>
        <w:pStyle w:val="GuideBullets-ASDEFCON"/>
      </w:pPr>
      <w:r w:rsidRPr="00A641F2">
        <w:t>DSD-ENG-CSC sets out the work requirements for managing the CSC itself, including planning, scheduling</w:t>
      </w:r>
      <w:r w:rsidR="00EA3FA5" w:rsidRPr="00A641F2">
        <w:t>,</w:t>
      </w:r>
      <w:r w:rsidRPr="00A641F2">
        <w:t xml:space="preserve"> reporting and </w:t>
      </w:r>
      <w:r w:rsidR="00EA3FA5" w:rsidRPr="00A641F2">
        <w:t xml:space="preserve">specific requirements for </w:t>
      </w:r>
      <w:r w:rsidRPr="00A641F2">
        <w:t xml:space="preserve">the </w:t>
      </w:r>
      <w:r w:rsidR="007620F3" w:rsidRPr="00A641F2">
        <w:t>types</w:t>
      </w:r>
      <w:r w:rsidRPr="00A641F2">
        <w:t xml:space="preserve"> of tasks </w:t>
      </w:r>
      <w:r w:rsidR="00D829A4" w:rsidRPr="00A641F2">
        <w:t xml:space="preserve">(Major Changes, Study Tasks, etc) </w:t>
      </w:r>
      <w:r w:rsidRPr="00A641F2">
        <w:t>that will be performed as CSC Tasks.</w:t>
      </w:r>
    </w:p>
    <w:p w14:paraId="0D6A4D92" w14:textId="77777777" w:rsidR="00FF2661" w:rsidRPr="00A641F2" w:rsidRDefault="00FF2661" w:rsidP="00023969">
      <w:pPr>
        <w:pStyle w:val="GuideBullets-ASDEFCON"/>
      </w:pPr>
      <w:r w:rsidRPr="00A641F2">
        <w:t xml:space="preserve">Other DSDs </w:t>
      </w:r>
      <w:r w:rsidR="00EA3FA5" w:rsidRPr="00A641F2">
        <w:t>identify Services to be provided as</w:t>
      </w:r>
      <w:r w:rsidR="00D829A4" w:rsidRPr="00A641F2">
        <w:t xml:space="preserve"> S&amp;Q Services that</w:t>
      </w:r>
      <w:r w:rsidR="00EA3FA5" w:rsidRPr="00A641F2">
        <w:t>, when a CSC is included in the Contract,</w:t>
      </w:r>
      <w:r w:rsidR="00D829A4" w:rsidRPr="00A641F2">
        <w:t xml:space="preserve"> </w:t>
      </w:r>
      <w:r w:rsidR="00FC4EA7" w:rsidRPr="00A641F2">
        <w:t xml:space="preserve">may </w:t>
      </w:r>
      <w:r w:rsidR="00D829A4" w:rsidRPr="00A641F2">
        <w:t>be</w:t>
      </w:r>
      <w:r w:rsidRPr="00A641F2">
        <w:t xml:space="preserve"> </w:t>
      </w:r>
      <w:r w:rsidR="00D829A4" w:rsidRPr="00A641F2">
        <w:t xml:space="preserve">addressed </w:t>
      </w:r>
      <w:r w:rsidR="00FC4EA7" w:rsidRPr="00A641F2">
        <w:t xml:space="preserve">by </w:t>
      </w:r>
      <w:r w:rsidRPr="00A641F2">
        <w:t xml:space="preserve">particular CSC Tasks (eg, DSD-ENG-SERV sets out the framework for managing Major Changes, which would be utilised whenever the CSC </w:t>
      </w:r>
      <w:r w:rsidR="00EA3FA5" w:rsidRPr="00A641F2">
        <w:t>i</w:t>
      </w:r>
      <w:r w:rsidRPr="00A641F2">
        <w:t>s required to undertake a specific Major Change).</w:t>
      </w:r>
    </w:p>
    <w:p w14:paraId="422E995B" w14:textId="77777777" w:rsidR="008E6FD0" w:rsidRPr="00A641F2" w:rsidRDefault="008E6FD0">
      <w:pPr>
        <w:pStyle w:val="GuideBullets-ASDEFCON"/>
      </w:pPr>
      <w:r w:rsidRPr="00A641F2">
        <w:t>CSC Task Plans, prepared in accordance with DID-ENG-CSCTP, define the scope of each CSC Task in terms of the requirement, categorisation, and both CSC and CSC Additional Resources</w:t>
      </w:r>
      <w:r w:rsidR="00EA3FA5" w:rsidRPr="00A641F2">
        <w:t xml:space="preserve"> (note that DID-SSM-S&amp;Q may be used as the basis for quoting the CSC Additional Resources for a proposed CSC Task Plan).</w:t>
      </w:r>
    </w:p>
    <w:p w14:paraId="10BDFE32" w14:textId="77777777" w:rsidR="008E6FD0" w:rsidRPr="00A641F2" w:rsidRDefault="008E6FD0">
      <w:pPr>
        <w:pStyle w:val="GuideBullets-ASDEFCON"/>
      </w:pPr>
      <w:r w:rsidRPr="00A641F2">
        <w:t>CSC Master Schedule</w:t>
      </w:r>
      <w:r w:rsidR="00053E6E" w:rsidRPr="00A641F2">
        <w:t xml:space="preserve">, </w:t>
      </w:r>
      <w:r w:rsidRPr="00A641F2">
        <w:t>prepared in accordance with DID-ENG-CSCMS</w:t>
      </w:r>
      <w:r w:rsidR="00053E6E" w:rsidRPr="00A641F2">
        <w:t>,</w:t>
      </w:r>
      <w:r w:rsidRPr="00A641F2">
        <w:t xml:space="preserve"> schedules all current and planned </w:t>
      </w:r>
      <w:r w:rsidR="00053E6E" w:rsidRPr="00A641F2">
        <w:t>CSC T</w:t>
      </w:r>
      <w:r w:rsidRPr="00A641F2">
        <w:t>asks.</w:t>
      </w:r>
    </w:p>
    <w:p w14:paraId="63CD783D" w14:textId="77777777" w:rsidR="008E6FD0" w:rsidRPr="00A641F2" w:rsidRDefault="008E6FD0">
      <w:pPr>
        <w:pStyle w:val="GuideBullets-ASDEFCON"/>
      </w:pPr>
      <w:r w:rsidRPr="00A641F2">
        <w:t>CSC Status Report</w:t>
      </w:r>
      <w:r w:rsidR="00053E6E" w:rsidRPr="00A641F2">
        <w:t xml:space="preserve">, </w:t>
      </w:r>
      <w:r w:rsidRPr="00A641F2">
        <w:t>prepared in accordance with DID-ENG-CSC</w:t>
      </w:r>
      <w:r w:rsidR="00053E6E" w:rsidRPr="00A641F2">
        <w:t>SR,</w:t>
      </w:r>
      <w:r w:rsidRPr="00A641F2">
        <w:t xml:space="preserve"> reports on the status of all current and proposed tasks, and those closed within the reporting period.</w:t>
      </w:r>
    </w:p>
    <w:p w14:paraId="5C8A9F37" w14:textId="77777777" w:rsidR="00FF2661" w:rsidRPr="00A641F2" w:rsidRDefault="00053E6E">
      <w:pPr>
        <w:pStyle w:val="GuideBullets-ASDEFCON"/>
      </w:pPr>
      <w:r w:rsidRPr="00A641F2">
        <w:t xml:space="preserve">CEMP, </w:t>
      </w:r>
      <w:r w:rsidR="00FC4EA7" w:rsidRPr="00A641F2">
        <w:t xml:space="preserve">prepared </w:t>
      </w:r>
      <w:r w:rsidR="00FD02CC" w:rsidRPr="00A641F2">
        <w:t>in accordance with</w:t>
      </w:r>
      <w:r w:rsidR="008E6FD0" w:rsidRPr="00A641F2">
        <w:t xml:space="preserve"> </w:t>
      </w:r>
      <w:r w:rsidR="00FF2661" w:rsidRPr="00A641F2">
        <w:t>DID-ENG-CEMP</w:t>
      </w:r>
      <w:r w:rsidR="00FD02CC" w:rsidRPr="00A641F2">
        <w:t xml:space="preserve"> as modified by this </w:t>
      </w:r>
      <w:r w:rsidR="0055506C" w:rsidRPr="00A641F2">
        <w:rPr>
          <w:i/>
        </w:rPr>
        <w:t xml:space="preserve">CSC Module </w:t>
      </w:r>
      <w:r w:rsidR="0055506C" w:rsidRPr="00A641F2">
        <w:t>(refer to the draft SOW clauses)</w:t>
      </w:r>
      <w:r w:rsidRPr="00A641F2">
        <w:t>,</w:t>
      </w:r>
      <w:r w:rsidR="00FF2661" w:rsidRPr="00A641F2">
        <w:t xml:space="preserve"> is the governing plan for the CSC.</w:t>
      </w:r>
    </w:p>
    <w:p w14:paraId="4D0ADFC4" w14:textId="77777777" w:rsidR="00FF2661" w:rsidRPr="00A641F2" w:rsidRDefault="00053E6E">
      <w:pPr>
        <w:pStyle w:val="GuideBullets-ASDEFCON"/>
      </w:pPr>
      <w:r w:rsidRPr="00A641F2">
        <w:t xml:space="preserve">SSMP, prepared in accordance with </w:t>
      </w:r>
      <w:r w:rsidR="00FF2661" w:rsidRPr="00A641F2">
        <w:t>DID-SSM-SSMP</w:t>
      </w:r>
      <w:r w:rsidRPr="00A641F2">
        <w:t>,</w:t>
      </w:r>
      <w:r w:rsidR="00FF2661" w:rsidRPr="00A641F2">
        <w:t xml:space="preserve"> is the </w:t>
      </w:r>
      <w:r w:rsidRPr="00A641F2">
        <w:t xml:space="preserve">Contractor’s </w:t>
      </w:r>
      <w:r w:rsidR="00FF2661" w:rsidRPr="00A641F2">
        <w:t>governing plan for Key Persons.</w:t>
      </w:r>
    </w:p>
    <w:p w14:paraId="3537336D" w14:textId="183F5AFC" w:rsidR="0055506C" w:rsidRPr="00A641F2" w:rsidRDefault="00D56B52">
      <w:pPr>
        <w:pStyle w:val="GuideLV1Head-ASDEFCON"/>
      </w:pPr>
      <w:bookmarkStart w:id="80" w:name="_Toc423808629"/>
      <w:bookmarkStart w:id="81" w:name="_Toc519256354"/>
      <w:bookmarkStart w:id="82" w:name="_Toc519256737"/>
      <w:bookmarkStart w:id="83" w:name="_Toc522618365"/>
      <w:bookmarkStart w:id="84" w:name="_Toc84506578"/>
      <w:r w:rsidRPr="00A641F2">
        <w:t>TAILORING GUIDANCE FOR THE CONDITIONS OF TENDER</w:t>
      </w:r>
      <w:bookmarkEnd w:id="80"/>
      <w:bookmarkEnd w:id="81"/>
      <w:bookmarkEnd w:id="82"/>
      <w:bookmarkEnd w:id="83"/>
      <w:bookmarkEnd w:id="84"/>
    </w:p>
    <w:p w14:paraId="21BCB28B" w14:textId="53265791" w:rsidR="0055506C" w:rsidRPr="00A641F2" w:rsidRDefault="0055506C">
      <w:pPr>
        <w:pStyle w:val="GuideLV2Head-ASDEFCON"/>
      </w:pPr>
      <w:bookmarkStart w:id="85" w:name="_Toc423808630"/>
      <w:bookmarkStart w:id="86" w:name="_Toc519256355"/>
      <w:bookmarkStart w:id="87" w:name="_Toc519256738"/>
      <w:bookmarkStart w:id="88" w:name="_Toc522618366"/>
      <w:bookmarkStart w:id="89" w:name="_Toc84506579"/>
      <w:r w:rsidRPr="00A641F2">
        <w:t>General</w:t>
      </w:r>
      <w:bookmarkEnd w:id="85"/>
      <w:bookmarkEnd w:id="86"/>
      <w:bookmarkEnd w:id="87"/>
      <w:bookmarkEnd w:id="88"/>
      <w:bookmarkEnd w:id="89"/>
    </w:p>
    <w:p w14:paraId="5F1A3F15" w14:textId="11336CE3" w:rsidR="0055506C" w:rsidRPr="00A641F2" w:rsidRDefault="0055506C" w:rsidP="0055506C">
      <w:r w:rsidRPr="00A641F2">
        <w:t xml:space="preserve">Drafters must incorporate the changes in the file </w:t>
      </w:r>
      <w:r w:rsidR="00071D2B" w:rsidRPr="00224840">
        <w:rPr>
          <w:i/>
        </w:rPr>
        <w:t>‘</w:t>
      </w:r>
      <w:r w:rsidR="005F0130" w:rsidRPr="00224840">
        <w:rPr>
          <w:i/>
        </w:rPr>
        <w:t>0</w:t>
      </w:r>
      <w:r w:rsidR="00A13BDC" w:rsidRPr="00224840">
        <w:rPr>
          <w:i/>
        </w:rPr>
        <w:t>2</w:t>
      </w:r>
      <w:r w:rsidRPr="00071D2B">
        <w:rPr>
          <w:i/>
        </w:rPr>
        <w:t>_</w:t>
      </w:r>
      <w:r w:rsidR="005F0130" w:rsidRPr="00071D2B">
        <w:rPr>
          <w:i/>
        </w:rPr>
        <w:t>SPT</w:t>
      </w:r>
      <w:r w:rsidR="00505D9A">
        <w:rPr>
          <w:i/>
        </w:rPr>
        <w:fldChar w:fldCharType="begin"/>
      </w:r>
      <w:r w:rsidR="00505D9A">
        <w:rPr>
          <w:i/>
        </w:rPr>
        <w:instrText xml:space="preserve"> DOCPROPERTY  Version  \* MERGEFORMAT </w:instrText>
      </w:r>
      <w:r w:rsidR="00505D9A">
        <w:rPr>
          <w:i/>
        </w:rPr>
        <w:fldChar w:fldCharType="separate"/>
      </w:r>
      <w:r w:rsidR="00505D9A">
        <w:rPr>
          <w:i/>
        </w:rPr>
        <w:t>V5.0</w:t>
      </w:r>
      <w:r w:rsidR="00505D9A">
        <w:rPr>
          <w:i/>
        </w:rPr>
        <w:fldChar w:fldCharType="end"/>
      </w:r>
      <w:r w:rsidR="005F0130">
        <w:rPr>
          <w:i/>
        </w:rPr>
        <w:t>_CSC_COT</w:t>
      </w:r>
      <w:r w:rsidR="00071D2B">
        <w:rPr>
          <w:i/>
        </w:rPr>
        <w:t>’</w:t>
      </w:r>
      <w:r w:rsidRPr="00A641F2">
        <w:t xml:space="preserve"> into the COT Attachment A and Annexes.  Refer to the preceding section of </w:t>
      </w:r>
      <w:r w:rsidR="00071D2B">
        <w:t>‘</w:t>
      </w:r>
      <w:r w:rsidRPr="00A641F2">
        <w:t>CSC and Tendering</w:t>
      </w:r>
      <w:r w:rsidR="00071D2B">
        <w:t>’</w:t>
      </w:r>
      <w:r w:rsidRPr="00A641F2">
        <w:t xml:space="preserve"> for an overview and general guidance.  Note that </w:t>
      </w:r>
      <w:r w:rsidR="00BE1C13" w:rsidRPr="00A641F2">
        <w:t>some</w:t>
      </w:r>
      <w:r w:rsidRPr="00A641F2">
        <w:t xml:space="preserve"> of the </w:t>
      </w:r>
      <w:r w:rsidR="00BE1C13" w:rsidRPr="00A641F2">
        <w:t xml:space="preserve">essential </w:t>
      </w:r>
      <w:r w:rsidRPr="00A641F2">
        <w:t>details for the CSC are defined by terms in the Glossary.</w:t>
      </w:r>
    </w:p>
    <w:p w14:paraId="0CF2F880" w14:textId="10C6FEA0" w:rsidR="0055506C" w:rsidRPr="00A641F2" w:rsidRDefault="0055506C" w:rsidP="00023969">
      <w:pPr>
        <w:pStyle w:val="GuideLV2Head-ASDEFCON"/>
      </w:pPr>
      <w:bookmarkStart w:id="90" w:name="_Toc423808631"/>
      <w:bookmarkStart w:id="91" w:name="_Toc519256356"/>
      <w:bookmarkStart w:id="92" w:name="_Toc519256739"/>
      <w:bookmarkStart w:id="93" w:name="_Toc522618367"/>
      <w:bookmarkStart w:id="94" w:name="_Toc84506580"/>
      <w:r w:rsidRPr="00A641F2">
        <w:t>Updates to Tender Data Requirements</w:t>
      </w:r>
      <w:bookmarkEnd w:id="90"/>
      <w:bookmarkEnd w:id="91"/>
      <w:bookmarkEnd w:id="92"/>
      <w:bookmarkEnd w:id="93"/>
      <w:bookmarkEnd w:id="94"/>
    </w:p>
    <w:p w14:paraId="6034013E" w14:textId="3F158DA7" w:rsidR="0055506C" w:rsidRPr="00A641F2" w:rsidRDefault="0055506C" w:rsidP="00023969">
      <w:pPr>
        <w:pStyle w:val="GuideMarginHead-ASDEFCON"/>
      </w:pPr>
      <w:r w:rsidRPr="00A641F2">
        <w:t>Annex D:</w:t>
      </w:r>
      <w:r w:rsidRPr="00A641F2">
        <w:tab/>
      </w:r>
      <w:r w:rsidRPr="00A641F2">
        <w:rPr>
          <w:u w:val="single"/>
        </w:rPr>
        <w:t xml:space="preserve">Clause </w:t>
      </w:r>
      <w:r w:rsidR="00334E07">
        <w:rPr>
          <w:u w:val="single"/>
        </w:rPr>
        <w:t>13</w:t>
      </w:r>
      <w:r w:rsidR="00000813">
        <w:rPr>
          <w:u w:val="single"/>
        </w:rPr>
        <w:t xml:space="preserve"> (TDR D-13)</w:t>
      </w:r>
      <w:r w:rsidRPr="00A641F2">
        <w:rPr>
          <w:u w:val="single"/>
        </w:rPr>
        <w:t>.</w:t>
      </w:r>
      <w:r w:rsidRPr="00A641F2">
        <w:t xml:space="preserve">  This clause </w:t>
      </w:r>
      <w:r w:rsidR="00334E07">
        <w:t>requires</w:t>
      </w:r>
      <w:r w:rsidRPr="00A641F2">
        <w:t xml:space="preserve"> the tender</w:t>
      </w:r>
      <w:r w:rsidR="00334E07">
        <w:t>s to</w:t>
      </w:r>
      <w:r w:rsidRPr="00A641F2">
        <w:t xml:space="preserve"> respon</w:t>
      </w:r>
      <w:r w:rsidR="00334E07">
        <w:t>d</w:t>
      </w:r>
      <w:r w:rsidRPr="00A641F2">
        <w:t xml:space="preserve"> </w:t>
      </w:r>
      <w:r w:rsidR="00334E07">
        <w:t>by</w:t>
      </w:r>
      <w:r w:rsidRPr="00A641F2">
        <w:t xml:space="preserve"> complet</w:t>
      </w:r>
      <w:r w:rsidR="00334E07">
        <w:t>ing the ‘ContractorStandingCapability’ worksheet in the SPTPW, including by considering those CSC Tasks and skills identified in TDR E-15</w:t>
      </w:r>
      <w:r w:rsidRPr="00A641F2">
        <w:t>.</w:t>
      </w:r>
    </w:p>
    <w:p w14:paraId="462090F3" w14:textId="0D48A458" w:rsidR="0055506C" w:rsidRPr="00A641F2" w:rsidRDefault="00000813" w:rsidP="00023969">
      <w:pPr>
        <w:pStyle w:val="GuideText-ASDEFCON"/>
      </w:pPr>
      <w:r>
        <w:t xml:space="preserve">‘ContractorStandingCapability’ worksheet in the SPTPW </w:t>
      </w:r>
      <w:r w:rsidR="0055506C" w:rsidRPr="00A641F2">
        <w:t xml:space="preserve">identifies the proposed </w:t>
      </w:r>
      <w:r w:rsidR="00745B7D" w:rsidRPr="00A641F2">
        <w:t xml:space="preserve">composition and </w:t>
      </w:r>
      <w:r w:rsidR="0055506C" w:rsidRPr="00A641F2">
        <w:t xml:space="preserve">pricing for the CSC </w:t>
      </w:r>
      <w:r w:rsidR="00FC4EA7" w:rsidRPr="00A641F2">
        <w:t>P</w:t>
      </w:r>
      <w:r w:rsidR="0055506C" w:rsidRPr="00A641F2">
        <w:t>ersonnel</w:t>
      </w:r>
      <w:r w:rsidR="00745B7D" w:rsidRPr="00A641F2">
        <w:t>,</w:t>
      </w:r>
      <w:r w:rsidR="0055506C" w:rsidRPr="00A641F2">
        <w:t xml:space="preserve"> broken down by </w:t>
      </w:r>
      <w:r w:rsidR="00071D2B">
        <w:t>‘</w:t>
      </w:r>
      <w:r w:rsidR="00745B7D" w:rsidRPr="00A641F2">
        <w:t>category of labour and skill level</w:t>
      </w:r>
      <w:r w:rsidR="00071D2B">
        <w:t>’</w:t>
      </w:r>
      <w:r w:rsidR="0055506C" w:rsidRPr="00A641F2">
        <w:t xml:space="preserve">.  This table may be left empty or, where </w:t>
      </w:r>
      <w:r w:rsidR="00D86C69">
        <w:t>CASG</w:t>
      </w:r>
      <w:r w:rsidR="0055506C" w:rsidRPr="00A641F2">
        <w:t xml:space="preserve"> wishes to specify </w:t>
      </w:r>
      <w:r w:rsidR="00180617" w:rsidRPr="00A641F2">
        <w:t>certain</w:t>
      </w:r>
      <w:r w:rsidR="0055506C" w:rsidRPr="00A641F2">
        <w:t xml:space="preserve"> CSC Personnel, th</w:t>
      </w:r>
      <w:r w:rsidR="00745B7D" w:rsidRPr="00A641F2">
        <w:t>o</w:t>
      </w:r>
      <w:r w:rsidR="0055506C" w:rsidRPr="00A641F2">
        <w:t xml:space="preserve">se labour categories and skill levels may be </w:t>
      </w:r>
      <w:r>
        <w:t>included in</w:t>
      </w:r>
      <w:r w:rsidR="0055506C" w:rsidRPr="00A641F2">
        <w:t xml:space="preserve"> the table.  </w:t>
      </w:r>
      <w:r w:rsidR="00180617" w:rsidRPr="00A641F2">
        <w:t xml:space="preserve">The </w:t>
      </w:r>
      <w:r w:rsidR="0055506C" w:rsidRPr="00A641F2">
        <w:t xml:space="preserve">number of FTE personnel </w:t>
      </w:r>
      <w:r w:rsidR="002E25CD" w:rsidRPr="00A641F2">
        <w:t xml:space="preserve">column </w:t>
      </w:r>
      <w:r w:rsidR="0055506C" w:rsidRPr="00A641F2">
        <w:t>should be left empty</w:t>
      </w:r>
      <w:r w:rsidR="00180617" w:rsidRPr="00A641F2">
        <w:t xml:space="preserve"> as minimum </w:t>
      </w:r>
      <w:r w:rsidR="002E25CD" w:rsidRPr="00A641F2">
        <w:t>Commonwealth requirements can be included at</w:t>
      </w:r>
      <w:r w:rsidR="00180617" w:rsidRPr="00A641F2">
        <w:t xml:space="preserve"> </w:t>
      </w:r>
      <w:r w:rsidR="002E25CD" w:rsidRPr="00A641F2">
        <w:t xml:space="preserve">Annex E, </w:t>
      </w:r>
      <w:r w:rsidR="00180617" w:rsidRPr="00A641F2">
        <w:t>TDR E-1</w:t>
      </w:r>
      <w:r>
        <w:t>5</w:t>
      </w:r>
      <w:r w:rsidR="0055506C" w:rsidRPr="00A641F2">
        <w:t>.</w:t>
      </w:r>
    </w:p>
    <w:p w14:paraId="6A65838E" w14:textId="36D57187" w:rsidR="0055506C" w:rsidRPr="00A641F2" w:rsidRDefault="0055506C" w:rsidP="00023969">
      <w:pPr>
        <w:pStyle w:val="GuideMarginHead-ASDEFCON"/>
      </w:pPr>
      <w:r w:rsidRPr="00A641F2">
        <w:t>Annex E:</w:t>
      </w:r>
      <w:r w:rsidRPr="00A641F2">
        <w:tab/>
      </w:r>
      <w:r w:rsidRPr="00A641F2">
        <w:rPr>
          <w:u w:val="single"/>
        </w:rPr>
        <w:t>Clause 1</w:t>
      </w:r>
      <w:r w:rsidR="00334E07">
        <w:rPr>
          <w:u w:val="single"/>
        </w:rPr>
        <w:t>5</w:t>
      </w:r>
      <w:r w:rsidRPr="00A641F2">
        <w:rPr>
          <w:u w:val="single"/>
        </w:rPr>
        <w:t>.1.</w:t>
      </w:r>
      <w:r w:rsidRPr="00A641F2">
        <w:t xml:space="preserve">  The proposed tasks </w:t>
      </w:r>
      <w:r w:rsidR="00BE1C13" w:rsidRPr="00A641F2">
        <w:t xml:space="preserve">to be described </w:t>
      </w:r>
      <w:r w:rsidRPr="00A641F2">
        <w:t xml:space="preserve">for the initial CSC Team are indicative, but need to be adequate enough in detail to allow for an accurate scoping of workload </w:t>
      </w:r>
      <w:r w:rsidR="00BE1C13" w:rsidRPr="00A641F2">
        <w:t xml:space="preserve">in order </w:t>
      </w:r>
      <w:r w:rsidR="00745B7D" w:rsidRPr="00A641F2">
        <w:t xml:space="preserve">for tenderers </w:t>
      </w:r>
      <w:r w:rsidR="00BE1C13" w:rsidRPr="00A641F2">
        <w:t xml:space="preserve">to define </w:t>
      </w:r>
      <w:r w:rsidRPr="00A641F2">
        <w:t xml:space="preserve">each labour category and skill level.  Drafters need to compile this list and indicate the time period over which </w:t>
      </w:r>
      <w:r w:rsidR="00180617" w:rsidRPr="00A641F2">
        <w:t>the work</w:t>
      </w:r>
      <w:r w:rsidRPr="00A641F2">
        <w:t xml:space="preserve"> would be completed (eg, the </w:t>
      </w:r>
      <w:r w:rsidR="00071D2B">
        <w:t>‘</w:t>
      </w:r>
      <w:r w:rsidRPr="00A641F2">
        <w:t>first CSC Term</w:t>
      </w:r>
      <w:r w:rsidR="00071D2B">
        <w:t>’</w:t>
      </w:r>
      <w:r w:rsidRPr="00A641F2">
        <w:t xml:space="preserve"> if those tasks can be specified, or a </w:t>
      </w:r>
      <w:r w:rsidR="00180617" w:rsidRPr="00A641F2">
        <w:t xml:space="preserve">lesser </w:t>
      </w:r>
      <w:r w:rsidRPr="00A641F2">
        <w:t>time period such as three o</w:t>
      </w:r>
      <w:r w:rsidR="00180617" w:rsidRPr="00A641F2">
        <w:t>r</w:t>
      </w:r>
      <w:r w:rsidRPr="00A641F2">
        <w:t xml:space="preserve"> six months).</w:t>
      </w:r>
    </w:p>
    <w:p w14:paraId="5374D127" w14:textId="77777777" w:rsidR="0055506C" w:rsidRPr="00A641F2" w:rsidRDefault="0055506C">
      <w:pPr>
        <w:pStyle w:val="GuideText-ASDEFCON"/>
      </w:pPr>
      <w:r w:rsidRPr="00A641F2">
        <w:rPr>
          <w:u w:val="single"/>
        </w:rPr>
        <w:t>Clause 14.2.</w:t>
      </w:r>
      <w:r w:rsidRPr="00A641F2">
        <w:t xml:space="preserve">  This clause is optional and only required if Defence / </w:t>
      </w:r>
      <w:r w:rsidR="00D86C69">
        <w:t>CASG</w:t>
      </w:r>
      <w:r w:rsidRPr="00A641F2">
        <w:t xml:space="preserve"> needs to specify a minimum number </w:t>
      </w:r>
      <w:r w:rsidR="002E25CD" w:rsidRPr="00A641F2">
        <w:t xml:space="preserve">and type </w:t>
      </w:r>
      <w:r w:rsidRPr="00A641F2">
        <w:t>of CSC Personnel to ensure the continuity of specialist skills and knowledge of bespoke or unique Defence systems.  Details should be added as indicated by the note to drafters and fields.</w:t>
      </w:r>
      <w:r w:rsidR="0078356E" w:rsidRPr="00A641F2">
        <w:t xml:space="preserve">  Otherwise the clause may be replaced with ‘Not used’.</w:t>
      </w:r>
    </w:p>
    <w:p w14:paraId="43889498" w14:textId="77777777" w:rsidR="0055506C" w:rsidRPr="00A641F2" w:rsidRDefault="0055506C">
      <w:pPr>
        <w:pStyle w:val="GuideText-ASDEFCON"/>
      </w:pPr>
      <w:r w:rsidRPr="00A641F2">
        <w:rPr>
          <w:u w:val="single"/>
        </w:rPr>
        <w:t>Clause 14.3.</w:t>
      </w:r>
      <w:r w:rsidRPr="00A641F2">
        <w:t xml:space="preserve">  This clause requires the tender</w:t>
      </w:r>
      <w:r w:rsidR="0078356E" w:rsidRPr="00A641F2">
        <w:t>er</w:t>
      </w:r>
      <w:r w:rsidRPr="00A641F2">
        <w:t xml:space="preserve"> to justify the </w:t>
      </w:r>
      <w:r w:rsidR="002E25CD" w:rsidRPr="00A641F2">
        <w:t xml:space="preserve">composition of </w:t>
      </w:r>
      <w:r w:rsidRPr="00A641F2">
        <w:t>proposed CSC Team</w:t>
      </w:r>
      <w:r w:rsidR="002E25CD" w:rsidRPr="00A641F2">
        <w:t xml:space="preserve"> </w:t>
      </w:r>
      <w:r w:rsidR="002E25CD" w:rsidRPr="00A255F0">
        <w:t>(which should reflect the two previous requirements)</w:t>
      </w:r>
      <w:r w:rsidRPr="00A641F2">
        <w:t>.  This clause should be retained without change.</w:t>
      </w:r>
    </w:p>
    <w:p w14:paraId="69B9535F" w14:textId="77777777" w:rsidR="0055506C" w:rsidRPr="00A641F2" w:rsidRDefault="0055506C">
      <w:pPr>
        <w:pStyle w:val="GuideText-ASDEFCON"/>
      </w:pPr>
      <w:r w:rsidRPr="00A641F2">
        <w:rPr>
          <w:u w:val="single"/>
        </w:rPr>
        <w:t>Clause 14.4.</w:t>
      </w:r>
      <w:r w:rsidRPr="00A641F2">
        <w:t xml:space="preserve">  This clause requires the tender to describe how the CSC Team will be managed efficiently.  This clause should be retained without change.</w:t>
      </w:r>
    </w:p>
    <w:p w14:paraId="05C060A5" w14:textId="77777777" w:rsidR="0055506C" w:rsidRPr="00A641F2" w:rsidRDefault="0055506C">
      <w:pPr>
        <w:pStyle w:val="GuideText-ASDEFCON"/>
      </w:pPr>
      <w:r w:rsidRPr="00A641F2">
        <w:rPr>
          <w:u w:val="single"/>
        </w:rPr>
        <w:t>Clause 14.5.</w:t>
      </w:r>
      <w:r w:rsidRPr="00A641F2">
        <w:t xml:space="preserve">  This clause is optional.  If a draft CEMP is required with the tender response (which is typical) then the clause may be deleted.</w:t>
      </w:r>
      <w:r w:rsidR="0078356E" w:rsidRPr="00A641F2">
        <w:t xml:space="preserve"> </w:t>
      </w:r>
      <w:r w:rsidRPr="00A641F2">
        <w:t xml:space="preserve"> Otherwise, the clause should be retained without change.</w:t>
      </w:r>
    </w:p>
    <w:p w14:paraId="40485A74" w14:textId="77777777" w:rsidR="0055506C" w:rsidRPr="00A641F2" w:rsidRDefault="0055506C">
      <w:pPr>
        <w:pStyle w:val="GuideMarginHead-ASDEFCON"/>
      </w:pPr>
      <w:r w:rsidRPr="00A641F2">
        <w:t>Related Clauses:</w:t>
      </w:r>
    </w:p>
    <w:p w14:paraId="32C2FD0B" w14:textId="3F80534A" w:rsidR="0055506C" w:rsidRPr="00A641F2" w:rsidRDefault="0055506C">
      <w:pPr>
        <w:pStyle w:val="GuideText-ASDEFCON"/>
      </w:pPr>
      <w:r w:rsidRPr="00A641F2">
        <w:t>COT Attachment A, Annex G</w:t>
      </w:r>
      <w:r w:rsidR="00A255F0">
        <w:t>,</w:t>
      </w:r>
      <w:r w:rsidRPr="00A641F2">
        <w:t xml:space="preserve"> TDR G-8, Contractor Engineering Management</w:t>
      </w:r>
    </w:p>
    <w:p w14:paraId="7D724DDC" w14:textId="77777777" w:rsidR="0055506C" w:rsidRPr="00A641F2" w:rsidRDefault="0055506C">
      <w:pPr>
        <w:pStyle w:val="GuideText-ASDEFCON"/>
      </w:pPr>
      <w:r w:rsidRPr="00A641F2">
        <w:t xml:space="preserve">Attachment B, Price and Payments </w:t>
      </w:r>
    </w:p>
    <w:p w14:paraId="2521D9F9" w14:textId="3908212A" w:rsidR="0055506C" w:rsidRPr="00A641F2" w:rsidRDefault="0055506C">
      <w:pPr>
        <w:pStyle w:val="GuideText-ASDEFCON"/>
      </w:pPr>
      <w:r w:rsidRPr="00A641F2">
        <w:t>Attachment M, Glossary</w:t>
      </w:r>
    </w:p>
    <w:p w14:paraId="1EB3F269" w14:textId="341EE87D" w:rsidR="0055506C" w:rsidRPr="00A641F2" w:rsidRDefault="00462595">
      <w:pPr>
        <w:pStyle w:val="GuideMarginHead-ASDEFCON"/>
      </w:pPr>
      <w:r>
        <w:t>Optional Clauses:</w:t>
      </w:r>
      <w:r>
        <w:tab/>
        <w:t>None</w:t>
      </w:r>
    </w:p>
    <w:p w14:paraId="78676E86" w14:textId="5C040914" w:rsidR="0055506C" w:rsidRPr="00A641F2" w:rsidRDefault="008A51DD">
      <w:pPr>
        <w:pStyle w:val="GuideLV1Head-ASDEFCON"/>
      </w:pPr>
      <w:bookmarkStart w:id="95" w:name="_Toc423808632"/>
      <w:bookmarkStart w:id="96" w:name="_Toc519256357"/>
      <w:bookmarkStart w:id="97" w:name="_Toc519256740"/>
      <w:bookmarkStart w:id="98" w:name="_Toc522618368"/>
      <w:bookmarkStart w:id="99" w:name="_Toc84506581"/>
      <w:r w:rsidRPr="00A641F2">
        <w:t>TAILORING GUIDANCE FOR THE CONDITIONS OF CONTRACT</w:t>
      </w:r>
      <w:bookmarkEnd w:id="95"/>
      <w:bookmarkEnd w:id="96"/>
      <w:bookmarkEnd w:id="97"/>
      <w:bookmarkEnd w:id="98"/>
      <w:bookmarkEnd w:id="99"/>
    </w:p>
    <w:p w14:paraId="3307F65A" w14:textId="3E5D4B89" w:rsidR="0055506C" w:rsidRPr="00A641F2" w:rsidRDefault="0055506C">
      <w:pPr>
        <w:pStyle w:val="GuideLV2Head-ASDEFCON"/>
      </w:pPr>
      <w:bookmarkStart w:id="100" w:name="_Toc423808633"/>
      <w:bookmarkStart w:id="101" w:name="_Toc519256358"/>
      <w:bookmarkStart w:id="102" w:name="_Toc519256741"/>
      <w:bookmarkStart w:id="103" w:name="_Toc522618369"/>
      <w:bookmarkStart w:id="104" w:name="_Toc84506582"/>
      <w:r w:rsidRPr="00A641F2">
        <w:t>General</w:t>
      </w:r>
      <w:bookmarkEnd w:id="100"/>
      <w:bookmarkEnd w:id="101"/>
      <w:bookmarkEnd w:id="102"/>
      <w:bookmarkEnd w:id="103"/>
      <w:bookmarkEnd w:id="104"/>
    </w:p>
    <w:p w14:paraId="5382B548" w14:textId="1DB28143" w:rsidR="0055506C" w:rsidRPr="00A641F2" w:rsidRDefault="0055506C">
      <w:pPr>
        <w:pStyle w:val="GuideText-ASDEFCON"/>
      </w:pPr>
      <w:r w:rsidRPr="00A641F2">
        <w:t xml:space="preserve">Drafters must incorporate the changes in the file </w:t>
      </w:r>
      <w:r w:rsidR="00071D2B">
        <w:t>‘</w:t>
      </w:r>
      <w:r w:rsidR="00C36033" w:rsidRPr="00224840">
        <w:rPr>
          <w:i/>
        </w:rPr>
        <w:t>0</w:t>
      </w:r>
      <w:r w:rsidR="00A13BDC" w:rsidRPr="00224840">
        <w:rPr>
          <w:i/>
        </w:rPr>
        <w:t>3</w:t>
      </w:r>
      <w:r w:rsidRPr="000C2616">
        <w:rPr>
          <w:i/>
        </w:rPr>
        <w:t>_</w:t>
      </w:r>
      <w:r w:rsidR="00C36033" w:rsidRPr="000C2616">
        <w:rPr>
          <w:i/>
        </w:rPr>
        <w:t>SPT</w:t>
      </w:r>
      <w:r w:rsidR="00505D9A">
        <w:rPr>
          <w:i/>
        </w:rPr>
        <w:fldChar w:fldCharType="begin"/>
      </w:r>
      <w:r w:rsidR="00505D9A">
        <w:rPr>
          <w:i/>
        </w:rPr>
        <w:instrText xml:space="preserve"> DOCPROPERTY  Version  \* MERGEFORMAT </w:instrText>
      </w:r>
      <w:r w:rsidR="00505D9A">
        <w:rPr>
          <w:i/>
        </w:rPr>
        <w:fldChar w:fldCharType="separate"/>
      </w:r>
      <w:r w:rsidR="00505D9A">
        <w:rPr>
          <w:i/>
        </w:rPr>
        <w:t>V5.0</w:t>
      </w:r>
      <w:r w:rsidR="00505D9A">
        <w:rPr>
          <w:i/>
        </w:rPr>
        <w:fldChar w:fldCharType="end"/>
      </w:r>
      <w:r w:rsidR="00C36033">
        <w:rPr>
          <w:i/>
        </w:rPr>
        <w:t>_CSC_COC</w:t>
      </w:r>
      <w:r w:rsidR="00071D2B">
        <w:rPr>
          <w:i/>
        </w:rPr>
        <w:t>’</w:t>
      </w:r>
      <w:r w:rsidRPr="00A641F2">
        <w:t xml:space="preserve"> into the COC at the clauses indicated.  Note that many of the details for the CSC are defined by terms in the Glossary.</w:t>
      </w:r>
    </w:p>
    <w:p w14:paraId="58717C26" w14:textId="5938A736" w:rsidR="0055506C" w:rsidRPr="00A641F2" w:rsidRDefault="0055506C">
      <w:pPr>
        <w:pStyle w:val="GuideLV2Head-ASDEFCON"/>
      </w:pPr>
      <w:bookmarkStart w:id="105" w:name="_Toc423808634"/>
      <w:bookmarkStart w:id="106" w:name="_Toc519256359"/>
      <w:bookmarkStart w:id="107" w:name="_Toc519256742"/>
      <w:bookmarkStart w:id="108" w:name="_Toc522618370"/>
      <w:bookmarkStart w:id="109" w:name="_Toc84506583"/>
      <w:r w:rsidRPr="00A641F2">
        <w:t>Existing Clause Updates</w:t>
      </w:r>
      <w:bookmarkEnd w:id="105"/>
      <w:bookmarkEnd w:id="106"/>
      <w:bookmarkEnd w:id="107"/>
      <w:bookmarkEnd w:id="108"/>
      <w:bookmarkEnd w:id="109"/>
    </w:p>
    <w:p w14:paraId="14B4945A" w14:textId="24373CC7" w:rsidR="0055506C" w:rsidRPr="00A641F2" w:rsidRDefault="0055506C">
      <w:pPr>
        <w:pStyle w:val="GuideMarginHead-ASDEFCON"/>
      </w:pPr>
      <w:r w:rsidRPr="00A641F2">
        <w:t>Clause 1.</w:t>
      </w:r>
      <w:r w:rsidR="00C36033">
        <w:t>5</w:t>
      </w:r>
      <w:r w:rsidRPr="00A641F2">
        <w:t>:</w:t>
      </w:r>
      <w:r w:rsidRPr="00A641F2">
        <w:tab/>
        <w:t xml:space="preserve">This clause is optional.  It requires the CSC to commence from </w:t>
      </w:r>
      <w:r w:rsidR="0078356E" w:rsidRPr="00A641F2">
        <w:t xml:space="preserve">the </w:t>
      </w:r>
      <w:r w:rsidRPr="00A641F2">
        <w:t xml:space="preserve">OD.  Alternatively, this clause may be left out of the draft Contract and </w:t>
      </w:r>
      <w:r w:rsidR="0078356E" w:rsidRPr="00A641F2">
        <w:t xml:space="preserve">a different </w:t>
      </w:r>
      <w:r w:rsidRPr="00A641F2">
        <w:t xml:space="preserve">CSC Commencement Date defined in the Glossary.  The CSC Commencement Date definition in the Glossary refers to OD by default, alternatives may be described with respect to OD (eg, </w:t>
      </w:r>
      <w:r w:rsidR="00071D2B">
        <w:t>‘</w:t>
      </w:r>
      <w:r w:rsidRPr="00A641F2">
        <w:t>six months after OD</w:t>
      </w:r>
      <w:r w:rsidR="00071D2B">
        <w:t>’</w:t>
      </w:r>
      <w:r w:rsidRPr="00A641F2">
        <w:t>) or some other Milestone.</w:t>
      </w:r>
    </w:p>
    <w:p w14:paraId="6EABEC4D" w14:textId="762352E4" w:rsidR="0055506C" w:rsidRDefault="0055506C">
      <w:pPr>
        <w:pStyle w:val="GuideMarginHead-ASDEFCON"/>
      </w:pPr>
      <w:r w:rsidRPr="00A641F2">
        <w:t>Clause 7.1:</w:t>
      </w:r>
      <w:r w:rsidRPr="00A641F2">
        <w:tab/>
        <w:t>This clause adds the CSC Fees to the price basis for payments.  The clause should be retained without change.</w:t>
      </w:r>
    </w:p>
    <w:p w14:paraId="400D2D8E" w14:textId="565342F3" w:rsidR="00DF5027" w:rsidRPr="00A641F2" w:rsidRDefault="00DF5027">
      <w:pPr>
        <w:pStyle w:val="GuideMarginHead-ASDEFCON"/>
      </w:pPr>
      <w:r>
        <w:t>Clause 7.4.1b</w:t>
      </w:r>
      <w:r w:rsidR="0000254F">
        <w:t>:</w:t>
      </w:r>
      <w:r>
        <w:tab/>
        <w:t xml:space="preserve">This clause is a replacement clause for </w:t>
      </w:r>
      <w:r w:rsidR="00A4675E">
        <w:t xml:space="preserve">clause </w:t>
      </w:r>
      <w:r>
        <w:t xml:space="preserve">7.4.1b in the draft </w:t>
      </w:r>
      <w:r w:rsidR="0000254F">
        <w:t>COC.</w:t>
      </w:r>
      <w:r w:rsidR="00CA0BCA">
        <w:t xml:space="preserve">  This ensures that CSC Additional Resources for Approved CSC tasks </w:t>
      </w:r>
      <w:r w:rsidR="00A255F0">
        <w:t xml:space="preserve">(under a </w:t>
      </w:r>
      <w:r w:rsidR="001E44BF">
        <w:t>‘</w:t>
      </w:r>
      <w:r w:rsidR="00A255F0">
        <w:t>fixed-priced quote</w:t>
      </w:r>
      <w:r w:rsidR="001E44BF">
        <w:t>’</w:t>
      </w:r>
      <w:r w:rsidR="00A255F0">
        <w:t xml:space="preserve">) </w:t>
      </w:r>
      <w:r w:rsidR="00CA0BCA">
        <w:t xml:space="preserve">are not adjusted with annual indexation.  This </w:t>
      </w:r>
      <w:r w:rsidR="00A4675E">
        <w:t xml:space="preserve">is </w:t>
      </w:r>
      <w:r w:rsidR="00CA0BCA">
        <w:t xml:space="preserve">consistent with S&amp;Q </w:t>
      </w:r>
      <w:r w:rsidR="00A255F0">
        <w:t>Orders</w:t>
      </w:r>
      <w:r w:rsidR="00CA0BCA">
        <w:t>.</w:t>
      </w:r>
    </w:p>
    <w:p w14:paraId="54953B3C" w14:textId="616576FF" w:rsidR="0055506C" w:rsidRPr="00A641F2" w:rsidRDefault="0055506C">
      <w:pPr>
        <w:pStyle w:val="GuideLV2Head-ASDEFCON"/>
      </w:pPr>
      <w:bookmarkStart w:id="110" w:name="_Toc423808635"/>
      <w:bookmarkStart w:id="111" w:name="_Toc519256360"/>
      <w:bookmarkStart w:id="112" w:name="_Toc519256743"/>
      <w:bookmarkStart w:id="113" w:name="_Toc522618371"/>
      <w:bookmarkStart w:id="114" w:name="_Toc84506584"/>
      <w:r w:rsidRPr="00A641F2">
        <w:t xml:space="preserve">Clause </w:t>
      </w:r>
      <w:r w:rsidR="00F567C3">
        <w:t>15</w:t>
      </w:r>
      <w:r w:rsidRPr="00A641F2">
        <w:t>. Contractor Standing Capability</w:t>
      </w:r>
      <w:bookmarkEnd w:id="110"/>
      <w:bookmarkEnd w:id="111"/>
      <w:bookmarkEnd w:id="112"/>
      <w:bookmarkEnd w:id="113"/>
      <w:bookmarkEnd w:id="114"/>
    </w:p>
    <w:p w14:paraId="7C0E50F9" w14:textId="35710C4E" w:rsidR="0055506C" w:rsidRPr="00A641F2" w:rsidRDefault="0055506C">
      <w:pPr>
        <w:pStyle w:val="GuideMarginHead-ASDEFCON"/>
      </w:pPr>
      <w:r w:rsidRPr="00A641F2">
        <w:t xml:space="preserve">Clause </w:t>
      </w:r>
      <w:r w:rsidR="00F567C3">
        <w:t>15</w:t>
      </w:r>
      <w:r w:rsidRPr="00A641F2">
        <w:t>.1:</w:t>
      </w:r>
      <w:r w:rsidRPr="00A641F2">
        <w:tab/>
      </w:r>
      <w:r w:rsidRPr="00A641F2">
        <w:rPr>
          <w:u w:val="single"/>
        </w:rPr>
        <w:t>Contractor Standing Capability Background.</w:t>
      </w:r>
      <w:r w:rsidRPr="00A641F2">
        <w:t xml:space="preserve">  Clause </w:t>
      </w:r>
      <w:r w:rsidR="00F567C3">
        <w:t>15</w:t>
      </w:r>
      <w:r w:rsidRPr="00A641F2">
        <w:t xml:space="preserve">.1.1 </w:t>
      </w:r>
      <w:r w:rsidR="00805F9A" w:rsidRPr="00A641F2">
        <w:t>identifies</w:t>
      </w:r>
      <w:r w:rsidRPr="00A641F2">
        <w:t xml:space="preserve"> the purpose of the CSC</w:t>
      </w:r>
      <w:r w:rsidR="00805F9A" w:rsidRPr="00A641F2">
        <w:t xml:space="preserve"> and its application through DSD-ENG-CSC and the Approved CSC Task Plans that inter-related with COC clause </w:t>
      </w:r>
      <w:r w:rsidR="00F567C3">
        <w:t>15</w:t>
      </w:r>
      <w:r w:rsidRPr="00A641F2">
        <w:t xml:space="preserve">.  This should be reviewed and amended to reflect the scope and nature of CSC Tasks, if necessary.  Clause </w:t>
      </w:r>
      <w:r w:rsidR="00F567C3">
        <w:t>15</w:t>
      </w:r>
      <w:r w:rsidRPr="00A641F2">
        <w:t xml:space="preserve">.1.2 should be </w:t>
      </w:r>
      <w:r w:rsidR="00457F3C">
        <w:t>included</w:t>
      </w:r>
      <w:r w:rsidR="00457F3C" w:rsidRPr="00A641F2">
        <w:t xml:space="preserve"> </w:t>
      </w:r>
      <w:r w:rsidRPr="00A641F2">
        <w:t>without change.</w:t>
      </w:r>
    </w:p>
    <w:p w14:paraId="4C455B0A" w14:textId="07F0ADB0" w:rsidR="0055506C" w:rsidRPr="00A641F2" w:rsidRDefault="0055506C">
      <w:pPr>
        <w:pStyle w:val="GuideMarginHead-ASDEFCON"/>
      </w:pPr>
      <w:r w:rsidRPr="00A641F2">
        <w:t xml:space="preserve">Clause </w:t>
      </w:r>
      <w:r w:rsidR="00F567C3">
        <w:t>15</w:t>
      </w:r>
      <w:r w:rsidRPr="00A641F2">
        <w:t>.2:</w:t>
      </w:r>
      <w:r w:rsidRPr="00A641F2">
        <w:tab/>
      </w:r>
      <w:r w:rsidRPr="00A641F2">
        <w:rPr>
          <w:u w:val="single"/>
        </w:rPr>
        <w:t>Contractor Standing Capability</w:t>
      </w:r>
      <w:r w:rsidR="00805F9A" w:rsidRPr="00A641F2">
        <w:rPr>
          <w:u w:val="single"/>
        </w:rPr>
        <w:t xml:space="preserve"> Term and Composition</w:t>
      </w:r>
      <w:r w:rsidRPr="00A641F2">
        <w:rPr>
          <w:u w:val="single"/>
        </w:rPr>
        <w:t>.</w:t>
      </w:r>
      <w:r w:rsidRPr="00A641F2">
        <w:t xml:space="preserve">  This clause defines the CSC Term</w:t>
      </w:r>
      <w:r w:rsidR="008B6BC3" w:rsidRPr="00A641F2">
        <w:t>,</w:t>
      </w:r>
      <w:r w:rsidRPr="00A641F2">
        <w:t xml:space="preserve"> conditions for exten</w:t>
      </w:r>
      <w:r w:rsidR="008B6BC3" w:rsidRPr="00A641F2">
        <w:t>ding</w:t>
      </w:r>
      <w:r w:rsidRPr="00A641F2">
        <w:t xml:space="preserve"> the CSC Term</w:t>
      </w:r>
      <w:r w:rsidR="008B6BC3" w:rsidRPr="00A641F2">
        <w:t>, and related changes to CSC composition</w:t>
      </w:r>
      <w:r w:rsidRPr="00A641F2">
        <w:t>.</w:t>
      </w:r>
    </w:p>
    <w:p w14:paraId="1BC26EC5" w14:textId="4CF1D205" w:rsidR="0055506C" w:rsidRPr="00A641F2" w:rsidRDefault="0055506C">
      <w:pPr>
        <w:pStyle w:val="GuideText-ASDEFCON"/>
      </w:pPr>
      <w:r w:rsidRPr="00A641F2">
        <w:t xml:space="preserve">Clauses </w:t>
      </w:r>
      <w:r w:rsidR="00F567C3">
        <w:t>15</w:t>
      </w:r>
      <w:r w:rsidRPr="00A641F2">
        <w:t>.2.1 define</w:t>
      </w:r>
      <w:r w:rsidR="008B6BC3" w:rsidRPr="00A641F2">
        <w:t>s</w:t>
      </w:r>
      <w:r w:rsidRPr="00A641F2">
        <w:t xml:space="preserve"> the initial CSC Term from the CSC Commencement Date for the period specified by the drafter.  Drafters need to insert an appropriate timeframe for the initial CSC Term, noting that it does not have to be the same as the extensions in clause</w:t>
      </w:r>
      <w:r w:rsidR="008B6BC3" w:rsidRPr="00A641F2">
        <w:t xml:space="preserve"> </w:t>
      </w:r>
      <w:r w:rsidR="00F567C3">
        <w:t>15</w:t>
      </w:r>
      <w:r w:rsidR="008B6BC3" w:rsidRPr="00A641F2">
        <w:t>.2.2</w:t>
      </w:r>
      <w:r w:rsidRPr="00A641F2">
        <w:t xml:space="preserve">.  </w:t>
      </w:r>
      <w:r w:rsidR="001B1418" w:rsidRPr="00A641F2">
        <w:t xml:space="preserve">The composition of the CSC Team is defined in Annex </w:t>
      </w:r>
      <w:r w:rsidR="00457F3C">
        <w:t>G</w:t>
      </w:r>
      <w:r w:rsidR="001B1418" w:rsidRPr="00A641F2">
        <w:t xml:space="preserve"> to Attachment B, which also defines the basis for the CSC Fee.</w:t>
      </w:r>
    </w:p>
    <w:p w14:paraId="0D2030C5" w14:textId="46FCBD3A" w:rsidR="0055506C" w:rsidRPr="00A641F2" w:rsidRDefault="0055506C">
      <w:pPr>
        <w:pStyle w:val="GuideText-ASDEFCON"/>
      </w:pPr>
      <w:r w:rsidRPr="00A641F2">
        <w:t xml:space="preserve">Clause </w:t>
      </w:r>
      <w:r w:rsidR="00F567C3">
        <w:t>15</w:t>
      </w:r>
      <w:r w:rsidRPr="00A641F2">
        <w:t>.2.</w:t>
      </w:r>
      <w:r w:rsidR="008B6BC3" w:rsidRPr="00A641F2">
        <w:t>2</w:t>
      </w:r>
      <w:r w:rsidRPr="00A641F2">
        <w:t xml:space="preserve"> </w:t>
      </w:r>
      <w:r w:rsidR="00F742B0" w:rsidRPr="00A641F2">
        <w:t xml:space="preserve">allows </w:t>
      </w:r>
      <w:r w:rsidRPr="00A641F2">
        <w:t xml:space="preserve">the Commonwealth to extend the CSC, by defined periods, for as long as may be required.  Drafters need to insert an appropriate timeframe for extensions.  </w:t>
      </w:r>
      <w:r w:rsidR="00F742B0" w:rsidRPr="00A641F2">
        <w:t>T</w:t>
      </w:r>
      <w:r w:rsidRPr="00A641F2">
        <w:t xml:space="preserve">he duration will often </w:t>
      </w:r>
      <w:r w:rsidR="00F742B0" w:rsidRPr="00A641F2">
        <w:t>be a</w:t>
      </w:r>
      <w:r w:rsidRPr="00A641F2">
        <w:t xml:space="preserve"> trade-off </w:t>
      </w:r>
      <w:r w:rsidR="00F742B0" w:rsidRPr="00A641F2">
        <w:t xml:space="preserve">between </w:t>
      </w:r>
      <w:r w:rsidRPr="00A641F2">
        <w:t xml:space="preserve">the flexibility of more frequent changes to the CSC composition and </w:t>
      </w:r>
      <w:r w:rsidR="00F742B0" w:rsidRPr="00A641F2">
        <w:t xml:space="preserve">the </w:t>
      </w:r>
      <w:r w:rsidRPr="00A641F2">
        <w:t xml:space="preserve">effort to implement those changes (eg, one year), versus longer-term stability and less frequent negotiation of changes but an obligation </w:t>
      </w:r>
      <w:r w:rsidR="00F742B0" w:rsidRPr="00A641F2">
        <w:t xml:space="preserve">on the Commonwealth </w:t>
      </w:r>
      <w:r w:rsidRPr="00A641F2">
        <w:t>to keep all of the CSC Team gainfully employed over the longer term (eg, two years).</w:t>
      </w:r>
    </w:p>
    <w:p w14:paraId="26FBA7B2" w14:textId="7A2DB230" w:rsidR="0055506C" w:rsidRPr="00A641F2" w:rsidRDefault="0055506C">
      <w:pPr>
        <w:pStyle w:val="GuideText-ASDEFCON"/>
      </w:pPr>
      <w:r w:rsidRPr="00A641F2">
        <w:t xml:space="preserve">Clause </w:t>
      </w:r>
      <w:r w:rsidR="00F567C3">
        <w:t>15</w:t>
      </w:r>
      <w:r w:rsidRPr="00A641F2">
        <w:t>.2.</w:t>
      </w:r>
      <w:r w:rsidR="00F742B0" w:rsidRPr="00A641F2">
        <w:t>3</w:t>
      </w:r>
      <w:r w:rsidRPr="00A641F2">
        <w:t xml:space="preserve"> allows the Commonwealth to change the composition of the CSC Team when the CSC Term is extended.  </w:t>
      </w:r>
      <w:r w:rsidR="001B1418" w:rsidRPr="00A641F2">
        <w:t xml:space="preserve">The extension is enacted through the CCP under clause </w:t>
      </w:r>
      <w:r w:rsidR="00F567C3">
        <w:t>15</w:t>
      </w:r>
      <w:r w:rsidR="001B1418" w:rsidRPr="00A641F2">
        <w:t>.3.4.  Both</w:t>
      </w:r>
      <w:r w:rsidRPr="00A641F2">
        <w:t xml:space="preserve"> clause</w:t>
      </w:r>
      <w:r w:rsidR="001B1418" w:rsidRPr="00A641F2">
        <w:t>s</w:t>
      </w:r>
      <w:r w:rsidRPr="00A641F2">
        <w:t xml:space="preserve"> should be retained without change.</w:t>
      </w:r>
    </w:p>
    <w:p w14:paraId="1F5D1F00" w14:textId="4619C264" w:rsidR="0055506C" w:rsidRPr="00A641F2" w:rsidRDefault="0055506C">
      <w:pPr>
        <w:pStyle w:val="GuideText-ASDEFCON"/>
      </w:pPr>
      <w:r w:rsidRPr="00A641F2">
        <w:t xml:space="preserve">Clause </w:t>
      </w:r>
      <w:r w:rsidR="00F567C3">
        <w:t>15</w:t>
      </w:r>
      <w:r w:rsidRPr="00A641F2">
        <w:t>.2.</w:t>
      </w:r>
      <w:r w:rsidR="008B6BC3" w:rsidRPr="00A641F2">
        <w:t>5</w:t>
      </w:r>
      <w:r w:rsidRPr="00A641F2">
        <w:t xml:space="preserve"> allows started </w:t>
      </w:r>
      <w:r w:rsidR="001B1418" w:rsidRPr="00A641F2">
        <w:t>CSC T</w:t>
      </w:r>
      <w:r w:rsidRPr="00A641F2">
        <w:t xml:space="preserve">asks to be completed (and paid for) even </w:t>
      </w:r>
      <w:r w:rsidR="001B1418" w:rsidRPr="00A641F2">
        <w:t>when</w:t>
      </w:r>
      <w:r w:rsidRPr="00A641F2">
        <w:t xml:space="preserve"> they extend beyond the CSC Term.  This clause should be retained without change.</w:t>
      </w:r>
    </w:p>
    <w:p w14:paraId="527AF37A" w14:textId="5FFA6F3A" w:rsidR="0055506C" w:rsidRPr="00A641F2" w:rsidRDefault="0055506C">
      <w:pPr>
        <w:pStyle w:val="GuideMarginHead-ASDEFCON"/>
      </w:pPr>
      <w:r w:rsidRPr="00A641F2">
        <w:t xml:space="preserve">Clause </w:t>
      </w:r>
      <w:r w:rsidR="00F567C3">
        <w:t>15</w:t>
      </w:r>
      <w:r w:rsidRPr="00A641F2">
        <w:t>.</w:t>
      </w:r>
      <w:r w:rsidR="001B1418" w:rsidRPr="00A641F2">
        <w:t>3</w:t>
      </w:r>
      <w:r w:rsidRPr="00A641F2">
        <w:t>:</w:t>
      </w:r>
      <w:r w:rsidRPr="00A641F2">
        <w:tab/>
      </w:r>
      <w:r w:rsidRPr="00A641F2">
        <w:rPr>
          <w:u w:val="single"/>
        </w:rPr>
        <w:t>CSC Tasks.</w:t>
      </w:r>
      <w:r w:rsidRPr="00A641F2">
        <w:t xml:space="preserve">  Clause </w:t>
      </w:r>
      <w:r w:rsidR="00F567C3">
        <w:t>15</w:t>
      </w:r>
      <w:r w:rsidRPr="00A641F2">
        <w:t>.</w:t>
      </w:r>
      <w:r w:rsidR="001B1418" w:rsidRPr="00A641F2">
        <w:t>3</w:t>
      </w:r>
      <w:r w:rsidRPr="00A641F2">
        <w:t xml:space="preserve"> defines the commercial obligations related to tasking the CSC Team </w:t>
      </w:r>
      <w:r w:rsidR="00383DED" w:rsidRPr="00A641F2">
        <w:t>in accordance with Approved CSC Task Plans</w:t>
      </w:r>
      <w:r w:rsidRPr="00A641F2">
        <w:t>.</w:t>
      </w:r>
      <w:r w:rsidR="00383DED" w:rsidRPr="00A641F2">
        <w:t xml:space="preserve">  The CSC Task proposal and Approval process is defined in DSD-ENG-CSC.</w:t>
      </w:r>
    </w:p>
    <w:p w14:paraId="51DB7D2A" w14:textId="2589E541" w:rsidR="0055506C" w:rsidRPr="00A641F2" w:rsidRDefault="0055506C">
      <w:pPr>
        <w:pStyle w:val="GuideText-ASDEFCON"/>
      </w:pPr>
      <w:r w:rsidRPr="00A641F2">
        <w:t xml:space="preserve">Clause </w:t>
      </w:r>
      <w:r w:rsidR="00F567C3">
        <w:t>15</w:t>
      </w:r>
      <w:r w:rsidRPr="00A641F2">
        <w:t>.</w:t>
      </w:r>
      <w:r w:rsidR="0050276F" w:rsidRPr="00A641F2">
        <w:t>3</w:t>
      </w:r>
      <w:r w:rsidRPr="00A641F2">
        <w:t xml:space="preserve">.1 </w:t>
      </w:r>
      <w:r w:rsidR="00E37747" w:rsidRPr="00A641F2">
        <w:t>states, for clarity,</w:t>
      </w:r>
      <w:r w:rsidRPr="00A641F2">
        <w:t xml:space="preserve"> the </w:t>
      </w:r>
      <w:r w:rsidR="00E37747" w:rsidRPr="00A641F2">
        <w:t xml:space="preserve">Contractor’s </w:t>
      </w:r>
      <w:r w:rsidRPr="00A641F2">
        <w:t xml:space="preserve">obligations to </w:t>
      </w:r>
      <w:r w:rsidR="00E37747" w:rsidRPr="00A641F2">
        <w:t>work in accordance with Approved</w:t>
      </w:r>
      <w:r w:rsidRPr="00A641F2">
        <w:t xml:space="preserve"> CSC Task</w:t>
      </w:r>
      <w:r w:rsidR="00E37747" w:rsidRPr="00A641F2">
        <w:t>s</w:t>
      </w:r>
      <w:r w:rsidRPr="00A641F2">
        <w:t xml:space="preserve">.  </w:t>
      </w:r>
      <w:r w:rsidR="00E37747" w:rsidRPr="00A641F2">
        <w:t>T</w:t>
      </w:r>
      <w:r w:rsidRPr="00A641F2">
        <w:t>h</w:t>
      </w:r>
      <w:r w:rsidR="00E37747" w:rsidRPr="00A641F2">
        <w:t>is</w:t>
      </w:r>
      <w:r w:rsidRPr="00A641F2">
        <w:t xml:space="preserve"> clause should be retained without change.</w:t>
      </w:r>
    </w:p>
    <w:p w14:paraId="6C5D9909" w14:textId="6CB45719" w:rsidR="0055506C" w:rsidRPr="00A641F2" w:rsidRDefault="0055506C">
      <w:pPr>
        <w:pStyle w:val="GuideText-ASDEFCON"/>
      </w:pPr>
      <w:r w:rsidRPr="00A641F2">
        <w:t xml:space="preserve">Clauses </w:t>
      </w:r>
      <w:r w:rsidR="00F567C3">
        <w:t>15</w:t>
      </w:r>
      <w:r w:rsidRPr="00A641F2">
        <w:t>.</w:t>
      </w:r>
      <w:r w:rsidR="0050276F" w:rsidRPr="00A641F2">
        <w:t>3</w:t>
      </w:r>
      <w:r w:rsidRPr="00A641F2">
        <w:t>.</w:t>
      </w:r>
      <w:r w:rsidR="00375D13" w:rsidRPr="00A641F2">
        <w:t>2</w:t>
      </w:r>
      <w:r w:rsidRPr="00A641F2">
        <w:t xml:space="preserve"> and </w:t>
      </w:r>
      <w:r w:rsidR="00F567C3">
        <w:t>15</w:t>
      </w:r>
      <w:r w:rsidRPr="00A641F2">
        <w:t>.</w:t>
      </w:r>
      <w:r w:rsidR="0050276F" w:rsidRPr="00A641F2">
        <w:t>3</w:t>
      </w:r>
      <w:r w:rsidRPr="00A641F2">
        <w:t>.</w:t>
      </w:r>
      <w:r w:rsidR="00375D13" w:rsidRPr="00A641F2">
        <w:t>3</w:t>
      </w:r>
      <w:r w:rsidRPr="00A641F2">
        <w:t xml:space="preserve"> restrict the CSC Task from making any inappropriate changes to the Contract (eg, undermining liability provisions).  </w:t>
      </w:r>
      <w:r w:rsidR="00DE4B74" w:rsidRPr="00A641F2">
        <w:t>Some COC provisions, particularly</w:t>
      </w:r>
      <w:r w:rsidRPr="00A641F2">
        <w:t xml:space="preserve"> Attachments may be </w:t>
      </w:r>
      <w:r w:rsidR="00375D13" w:rsidRPr="00A641F2">
        <w:t xml:space="preserve">‘effectively’ </w:t>
      </w:r>
      <w:r w:rsidRPr="00A641F2">
        <w:t xml:space="preserve">changed </w:t>
      </w:r>
      <w:r w:rsidR="00DE4B74" w:rsidRPr="00A641F2">
        <w:t xml:space="preserve">by a CSC Task </w:t>
      </w:r>
      <w:r w:rsidR="00E37747" w:rsidRPr="00A641F2">
        <w:t xml:space="preserve">on a temporary basis </w:t>
      </w:r>
      <w:r w:rsidRPr="00A641F2">
        <w:t xml:space="preserve">(eg, a CSC Task </w:t>
      </w:r>
      <w:r w:rsidR="00375D13" w:rsidRPr="00A641F2">
        <w:t xml:space="preserve">may temporarily change </w:t>
      </w:r>
      <w:r w:rsidRPr="00A641F2">
        <w:t xml:space="preserve">the </w:t>
      </w:r>
      <w:r w:rsidR="00DE4B74" w:rsidRPr="00A641F2">
        <w:t xml:space="preserve">level </w:t>
      </w:r>
      <w:r w:rsidRPr="00A641F2">
        <w:t xml:space="preserve">of AIC </w:t>
      </w:r>
      <w:r w:rsidR="00DE4B74" w:rsidRPr="00A641F2">
        <w:t xml:space="preserve">activity </w:t>
      </w:r>
      <w:r w:rsidR="00375D13" w:rsidRPr="00A641F2">
        <w:t xml:space="preserve">or may require an additional skill, not listed in S&amp;Q Services rates in Attachment B, </w:t>
      </w:r>
      <w:r w:rsidR="00E37747" w:rsidRPr="00A641F2">
        <w:t>as a CSC Additional Resource</w:t>
      </w:r>
      <w:r w:rsidRPr="00A641F2">
        <w:t xml:space="preserve">).  </w:t>
      </w:r>
      <w:r w:rsidR="00DE4B74" w:rsidRPr="00A641F2">
        <w:t>T</w:t>
      </w:r>
      <w:r w:rsidRPr="00A641F2">
        <w:t>hese clauses should be retained without change.</w:t>
      </w:r>
    </w:p>
    <w:p w14:paraId="5DC4D3DF" w14:textId="515DAB3B" w:rsidR="0055506C" w:rsidRPr="00A641F2" w:rsidRDefault="0055506C">
      <w:pPr>
        <w:pStyle w:val="GuideMarginHead-ASDEFCON"/>
      </w:pPr>
      <w:r w:rsidRPr="00A641F2">
        <w:t xml:space="preserve">Clause </w:t>
      </w:r>
      <w:r w:rsidR="00F567C3">
        <w:t>15</w:t>
      </w:r>
      <w:r w:rsidRPr="00A641F2">
        <w:t>.</w:t>
      </w:r>
      <w:r w:rsidR="00E37747" w:rsidRPr="00A641F2">
        <w:t>4</w:t>
      </w:r>
      <w:r w:rsidR="006A77B7" w:rsidRPr="00A641F2">
        <w:t>:</w:t>
      </w:r>
      <w:r w:rsidRPr="00A641F2">
        <w:tab/>
      </w:r>
      <w:r w:rsidRPr="00A641F2">
        <w:rPr>
          <w:u w:val="single"/>
        </w:rPr>
        <w:t>CSC Additional Resources.</w:t>
      </w:r>
      <w:r w:rsidRPr="00A641F2">
        <w:t xml:space="preserve">  Based on the principle of retaining a core team of expertise</w:t>
      </w:r>
      <w:r w:rsidR="00E37747" w:rsidRPr="00A641F2">
        <w:t xml:space="preserve"> at or slightly below the minimum forecast level of effort for the CSC</w:t>
      </w:r>
      <w:r w:rsidRPr="00A641F2">
        <w:t xml:space="preserve">, CSC Tasks that exceed the capacity of the CSC Team </w:t>
      </w:r>
      <w:r w:rsidR="00B747C9" w:rsidRPr="00A641F2">
        <w:t xml:space="preserve">in the timeframe allowed </w:t>
      </w:r>
      <w:r w:rsidRPr="00A641F2">
        <w:t xml:space="preserve">need a method for accessing </w:t>
      </w:r>
      <w:r w:rsidR="00573257" w:rsidRPr="00A641F2">
        <w:t>additional resources</w:t>
      </w:r>
      <w:r w:rsidR="00B747C9" w:rsidRPr="00A641F2">
        <w:t>.</w:t>
      </w:r>
      <w:r w:rsidRPr="00A641F2">
        <w:t xml:space="preserve">  </w:t>
      </w:r>
      <w:r w:rsidR="00B747C9" w:rsidRPr="00A641F2">
        <w:t>C</w:t>
      </w:r>
      <w:r w:rsidRPr="00A641F2">
        <w:t>lause</w:t>
      </w:r>
      <w:r w:rsidR="00B747C9" w:rsidRPr="00A641F2">
        <w:t xml:space="preserve"> </w:t>
      </w:r>
      <w:r w:rsidR="00F567C3">
        <w:t>15</w:t>
      </w:r>
      <w:r w:rsidR="00B747C9" w:rsidRPr="00A641F2">
        <w:t>.4</w:t>
      </w:r>
      <w:r w:rsidRPr="00A641F2">
        <w:t xml:space="preserve"> define</w:t>
      </w:r>
      <w:r w:rsidR="00B747C9" w:rsidRPr="00A641F2">
        <w:t>s</w:t>
      </w:r>
      <w:r w:rsidRPr="00A641F2">
        <w:t xml:space="preserve"> the </w:t>
      </w:r>
      <w:r w:rsidR="00B747C9" w:rsidRPr="00A641F2">
        <w:t xml:space="preserve">commercial </w:t>
      </w:r>
      <w:r w:rsidRPr="00A641F2">
        <w:t xml:space="preserve">obligations for that </w:t>
      </w:r>
      <w:r w:rsidR="00B747C9" w:rsidRPr="00A641F2">
        <w:t xml:space="preserve">increase in resources, </w:t>
      </w:r>
      <w:r w:rsidR="000B40C8" w:rsidRPr="00A641F2">
        <w:t xml:space="preserve">which are called </w:t>
      </w:r>
      <w:r w:rsidR="00B747C9" w:rsidRPr="00A641F2">
        <w:t>CSC Additional Resources</w:t>
      </w:r>
      <w:r w:rsidRPr="00A641F2">
        <w:t xml:space="preserve">. In essence, </w:t>
      </w:r>
      <w:r w:rsidR="000B40C8" w:rsidRPr="00A641F2">
        <w:t xml:space="preserve">CSC </w:t>
      </w:r>
      <w:r w:rsidRPr="00A641F2">
        <w:t xml:space="preserve">Additional Resources are </w:t>
      </w:r>
      <w:r w:rsidR="000B40C8" w:rsidRPr="00A641F2">
        <w:t xml:space="preserve">resources </w:t>
      </w:r>
      <w:r w:rsidRPr="00A641F2">
        <w:t xml:space="preserve">accessed at S&amp;Q rates but the </w:t>
      </w:r>
      <w:r w:rsidR="000B40C8" w:rsidRPr="00A641F2">
        <w:t xml:space="preserve">clauses managing the </w:t>
      </w:r>
      <w:r w:rsidRPr="00A641F2">
        <w:t xml:space="preserve">S&amp;Q request, quotation and order process </w:t>
      </w:r>
      <w:r w:rsidR="000B40C8" w:rsidRPr="00A641F2">
        <w:t>are</w:t>
      </w:r>
      <w:r w:rsidRPr="00A641F2">
        <w:t xml:space="preserve"> bypassed as much of the process is already addressed by the CSC Task</w:t>
      </w:r>
      <w:r w:rsidR="000B40C8" w:rsidRPr="00A641F2">
        <w:t xml:space="preserve"> (even though DID-SSM-S&amp;Q </w:t>
      </w:r>
      <w:r w:rsidR="00D87CEB" w:rsidRPr="00A641F2">
        <w:t>can</w:t>
      </w:r>
      <w:r w:rsidR="000B40C8" w:rsidRPr="00A641F2">
        <w:t xml:space="preserve"> be used as a basis for </w:t>
      </w:r>
      <w:r w:rsidR="00D87CEB" w:rsidRPr="00A641F2">
        <w:t>presenting</w:t>
      </w:r>
      <w:r w:rsidR="000B40C8" w:rsidRPr="00A641F2">
        <w:t xml:space="preserve"> the quotation</w:t>
      </w:r>
      <w:r w:rsidR="00A255F0">
        <w:t xml:space="preserve"> for </w:t>
      </w:r>
      <w:r w:rsidR="00A255F0" w:rsidRPr="00A641F2">
        <w:t>CSC Additional Resources</w:t>
      </w:r>
      <w:r w:rsidR="000B40C8" w:rsidRPr="00A641F2">
        <w:t>)</w:t>
      </w:r>
      <w:r w:rsidRPr="00A641F2">
        <w:t xml:space="preserve">.  The only </w:t>
      </w:r>
      <w:r w:rsidR="000B40C8" w:rsidRPr="00A641F2">
        <w:t>planning</w:t>
      </w:r>
      <w:r w:rsidRPr="00A641F2">
        <w:t xml:space="preserve"> requirement </w:t>
      </w:r>
      <w:r w:rsidR="000B40C8" w:rsidRPr="00A641F2">
        <w:t xml:space="preserve">in addition to the proposed CSC Task Plan (and </w:t>
      </w:r>
      <w:r w:rsidR="00D87CEB" w:rsidRPr="00A641F2">
        <w:t xml:space="preserve">related changes to the </w:t>
      </w:r>
      <w:r w:rsidR="000B40C8" w:rsidRPr="00A641F2">
        <w:t xml:space="preserve">CSC Master Schedule) </w:t>
      </w:r>
      <w:r w:rsidRPr="00A641F2">
        <w:t xml:space="preserve">is the financial quotation for </w:t>
      </w:r>
      <w:r w:rsidR="000B40C8" w:rsidRPr="00A641F2">
        <w:t xml:space="preserve">CSC </w:t>
      </w:r>
      <w:r w:rsidRPr="00A641F2">
        <w:t>Additional Resources, addressed by this clause.</w:t>
      </w:r>
    </w:p>
    <w:p w14:paraId="6300F78A" w14:textId="2EA09BF0" w:rsidR="0055506C" w:rsidRPr="00A641F2" w:rsidRDefault="0055506C">
      <w:pPr>
        <w:pStyle w:val="GuideText-ASDEFCON"/>
        <w:rPr>
          <w:b/>
        </w:rPr>
      </w:pPr>
      <w:r w:rsidRPr="00A641F2">
        <w:t xml:space="preserve">To ensure appropriate </w:t>
      </w:r>
      <w:r w:rsidR="00D87CEB" w:rsidRPr="00A641F2">
        <w:t xml:space="preserve">CSC </w:t>
      </w:r>
      <w:r w:rsidRPr="00A641F2">
        <w:t xml:space="preserve">Additional Resources, in terms of labour categories and skills, are captured </w:t>
      </w:r>
      <w:r w:rsidR="00D87CEB" w:rsidRPr="00A641F2">
        <w:t>with</w:t>
      </w:r>
      <w:r w:rsidRPr="00A641F2">
        <w:t xml:space="preserve">in tender responses, drafters should ensure that applicable labour categories and skills are </w:t>
      </w:r>
      <w:r w:rsidR="00D87CEB" w:rsidRPr="00A641F2">
        <w:t>included in</w:t>
      </w:r>
      <w:r w:rsidRPr="00A641F2">
        <w:t xml:space="preserve"> the tables </w:t>
      </w:r>
      <w:r w:rsidR="00A255F0">
        <w:t xml:space="preserve">of ‘Rates </w:t>
      </w:r>
      <w:r w:rsidRPr="00A641F2">
        <w:t>for S&amp;Q Services</w:t>
      </w:r>
      <w:r w:rsidR="00A255F0">
        <w:t>’</w:t>
      </w:r>
      <w:r w:rsidRPr="00A641F2">
        <w:t xml:space="preserve"> in </w:t>
      </w:r>
      <w:r w:rsidR="00457F3C" w:rsidRPr="00A641F2">
        <w:t xml:space="preserve">Annex </w:t>
      </w:r>
      <w:r w:rsidR="00457F3C">
        <w:t>E</w:t>
      </w:r>
      <w:r w:rsidR="00457F3C" w:rsidRPr="00A641F2">
        <w:t xml:space="preserve"> </w:t>
      </w:r>
      <w:r w:rsidR="00457F3C">
        <w:t xml:space="preserve">to </w:t>
      </w:r>
      <w:r w:rsidRPr="00A641F2">
        <w:t>Attachment A</w:t>
      </w:r>
      <w:r w:rsidR="00457F3C" w:rsidRPr="00457F3C">
        <w:t xml:space="preserve"> </w:t>
      </w:r>
      <w:r w:rsidR="00457F3C">
        <w:t xml:space="preserve">to the </w:t>
      </w:r>
      <w:r w:rsidR="00457F3C" w:rsidRPr="00A641F2">
        <w:t>COT</w:t>
      </w:r>
      <w:r w:rsidRPr="00A641F2">
        <w:t>.</w:t>
      </w:r>
    </w:p>
    <w:p w14:paraId="372547B1" w14:textId="01E5D3DB" w:rsidR="0055506C" w:rsidRPr="00A641F2" w:rsidRDefault="0055506C">
      <w:pPr>
        <w:pStyle w:val="GuideText-ASDEFCON"/>
      </w:pPr>
      <w:r w:rsidRPr="00A641F2">
        <w:t xml:space="preserve">Clause </w:t>
      </w:r>
      <w:r w:rsidR="00F567C3">
        <w:t>15</w:t>
      </w:r>
      <w:r w:rsidRPr="00A641F2">
        <w:t>.</w:t>
      </w:r>
      <w:r w:rsidR="00D87CEB" w:rsidRPr="00A641F2">
        <w:t>4</w:t>
      </w:r>
      <w:r w:rsidRPr="00A641F2">
        <w:t xml:space="preserve"> should be reviewed but, in general, should be retained without change.</w:t>
      </w:r>
    </w:p>
    <w:p w14:paraId="2C3C33FC" w14:textId="34505DDD" w:rsidR="0055506C" w:rsidRPr="00A641F2" w:rsidRDefault="0055506C">
      <w:pPr>
        <w:pStyle w:val="GuideMarginHead-ASDEFCON"/>
      </w:pPr>
      <w:r w:rsidRPr="00A641F2">
        <w:t xml:space="preserve">Clause </w:t>
      </w:r>
      <w:r w:rsidR="00F567C3">
        <w:t>15</w:t>
      </w:r>
      <w:r w:rsidRPr="00A641F2">
        <w:t>.</w:t>
      </w:r>
      <w:r w:rsidR="00D87CEB" w:rsidRPr="00A641F2">
        <w:t>5</w:t>
      </w:r>
      <w:r w:rsidRPr="00A641F2">
        <w:t>:</w:t>
      </w:r>
      <w:r w:rsidRPr="00A641F2">
        <w:tab/>
      </w:r>
      <w:r w:rsidRPr="00A641F2">
        <w:rPr>
          <w:u w:val="single"/>
        </w:rPr>
        <w:t>Payment for CSC Fee and CSC Additional Resources.</w:t>
      </w:r>
      <w:r w:rsidRPr="00A641F2">
        <w:t xml:space="preserve">  This clause extends COC clause 7.</w:t>
      </w:r>
      <w:r w:rsidR="00E012C2">
        <w:t>3</w:t>
      </w:r>
      <w:r w:rsidRPr="00A641F2">
        <w:t xml:space="preserve">, </w:t>
      </w:r>
      <w:r w:rsidR="00096F5F" w:rsidRPr="00A641F2">
        <w:t>Claims for Payment</w:t>
      </w:r>
      <w:r w:rsidRPr="00A641F2">
        <w:t xml:space="preserve">, to include payments for the CSC and </w:t>
      </w:r>
      <w:r w:rsidR="00D87CEB" w:rsidRPr="00A641F2">
        <w:t xml:space="preserve">CSC </w:t>
      </w:r>
      <w:r w:rsidRPr="00A641F2">
        <w:t xml:space="preserve">Additional Resources.  Clause </w:t>
      </w:r>
      <w:r w:rsidR="00F567C3">
        <w:t>15</w:t>
      </w:r>
      <w:r w:rsidRPr="00A641F2">
        <w:t>.</w:t>
      </w:r>
      <w:r w:rsidR="00D87CEB" w:rsidRPr="00A641F2">
        <w:t>5</w:t>
      </w:r>
      <w:r w:rsidRPr="00A641F2">
        <w:t xml:space="preserve"> should be reviewed but, in general, should be retained without change.</w:t>
      </w:r>
      <w:r w:rsidR="00B81F60">
        <w:t xml:space="preserve">  Note that clause 15.5 refer</w:t>
      </w:r>
      <w:r w:rsidR="00340354">
        <w:t>s</w:t>
      </w:r>
      <w:r w:rsidR="00B81F60">
        <w:t xml:space="preserve"> to COC clause 3.1</w:t>
      </w:r>
      <w:r w:rsidR="001E44BF">
        <w:t>8</w:t>
      </w:r>
      <w:r w:rsidR="00B81F60">
        <w:t xml:space="preserve"> to confirm that claim</w:t>
      </w:r>
      <w:r w:rsidR="00340354">
        <w:t>s</w:t>
      </w:r>
      <w:r w:rsidR="001E44BF">
        <w:t xml:space="preserve"> for payment</w:t>
      </w:r>
      <w:r w:rsidR="00340354">
        <w:t xml:space="preserve"> for CSC Services do not overlap with</w:t>
      </w:r>
      <w:r w:rsidR="00F7011C">
        <w:t xml:space="preserve"> </w:t>
      </w:r>
      <w:r w:rsidR="00340354">
        <w:t>other claims</w:t>
      </w:r>
      <w:r w:rsidR="00B81F60">
        <w:t>.</w:t>
      </w:r>
    </w:p>
    <w:p w14:paraId="1CA3067E" w14:textId="0691983A" w:rsidR="0055506C" w:rsidRPr="00A641F2" w:rsidRDefault="0055506C">
      <w:pPr>
        <w:pStyle w:val="GuideMarginHead-ASDEFCON"/>
      </w:pPr>
      <w:r w:rsidRPr="00A641F2">
        <w:t xml:space="preserve">Clause </w:t>
      </w:r>
      <w:r w:rsidR="00F567C3">
        <w:t>15</w:t>
      </w:r>
      <w:r w:rsidRPr="00A641F2">
        <w:t>.</w:t>
      </w:r>
      <w:r w:rsidR="00D87CEB" w:rsidRPr="00A641F2">
        <w:t>6</w:t>
      </w:r>
      <w:r w:rsidRPr="00A641F2">
        <w:t>:</w:t>
      </w:r>
      <w:r w:rsidRPr="00A641F2">
        <w:tab/>
      </w:r>
      <w:r w:rsidRPr="00A641F2">
        <w:rPr>
          <w:u w:val="single"/>
        </w:rPr>
        <w:t>Adherence to Approved CSC Task Requirements.</w:t>
      </w:r>
      <w:r w:rsidRPr="00A641F2">
        <w:t xml:space="preserve">  This clause places an obligation on the Contractor to complete CSC Tasks within the CSC </w:t>
      </w:r>
      <w:r w:rsidR="00D87CEB" w:rsidRPr="00A641F2">
        <w:t>Service H</w:t>
      </w:r>
      <w:r w:rsidRPr="00A641F2">
        <w:t xml:space="preserve">ours defined in the </w:t>
      </w:r>
      <w:r w:rsidR="00D87CEB" w:rsidRPr="00A641F2">
        <w:t xml:space="preserve">Approved CSC </w:t>
      </w:r>
      <w:r w:rsidRPr="00A641F2">
        <w:t xml:space="preserve">Task Plan and, subject to performance relief, by the scheduled completion date (noting that the CSC Task Plan can also be amended under clause </w:t>
      </w:r>
      <w:r w:rsidR="00F567C3">
        <w:t>15</w:t>
      </w:r>
      <w:r w:rsidRPr="00A641F2">
        <w:t>.</w:t>
      </w:r>
      <w:r w:rsidR="00D87CEB" w:rsidRPr="00A641F2">
        <w:t>9</w:t>
      </w:r>
      <w:r w:rsidRPr="00A641F2">
        <w:t xml:space="preserve">).  Importantly, this includes the obligation for the Contractor to complete a CSC Capped Price Task at no additional cost to the Commonwealth or CSC hours.  Clause </w:t>
      </w:r>
      <w:r w:rsidR="00F567C3">
        <w:t>15</w:t>
      </w:r>
      <w:r w:rsidRPr="00A641F2">
        <w:t>.</w:t>
      </w:r>
      <w:r w:rsidR="00D87CEB" w:rsidRPr="00A641F2">
        <w:t>6</w:t>
      </w:r>
      <w:r w:rsidRPr="00A641F2">
        <w:t xml:space="preserve"> should be reviewed but, in general, should be retained without change.</w:t>
      </w:r>
    </w:p>
    <w:p w14:paraId="353CCF3D" w14:textId="1A899B80" w:rsidR="0055506C" w:rsidRPr="00A641F2" w:rsidRDefault="0055506C">
      <w:pPr>
        <w:pStyle w:val="GuideMarginHead-ASDEFCON"/>
      </w:pPr>
      <w:r w:rsidRPr="00A641F2">
        <w:t xml:space="preserve">Clause </w:t>
      </w:r>
      <w:r w:rsidR="00F567C3">
        <w:t>15</w:t>
      </w:r>
      <w:r w:rsidRPr="00A641F2">
        <w:t>.</w:t>
      </w:r>
      <w:r w:rsidR="00D87CEB" w:rsidRPr="00A641F2">
        <w:t>7</w:t>
      </w:r>
      <w:r w:rsidRPr="00A641F2">
        <w:t>:</w:t>
      </w:r>
      <w:r w:rsidRPr="00A641F2">
        <w:tab/>
      </w:r>
      <w:r w:rsidRPr="00A641F2">
        <w:rPr>
          <w:u w:val="single"/>
        </w:rPr>
        <w:t>Warranties.</w:t>
      </w:r>
      <w:r w:rsidRPr="00A641F2">
        <w:t xml:space="preserve">  This clause </w:t>
      </w:r>
      <w:r w:rsidR="00D87CEB" w:rsidRPr="00A641F2">
        <w:t>confirms that</w:t>
      </w:r>
      <w:r w:rsidRPr="00A641F2">
        <w:t xml:space="preserve"> the warranty provisions of the Contract </w:t>
      </w:r>
      <w:r w:rsidR="00D87CEB" w:rsidRPr="00A641F2">
        <w:t xml:space="preserve">extend </w:t>
      </w:r>
      <w:r w:rsidRPr="00A641F2">
        <w:t>to the CSC work.  This clause should be retained without change.</w:t>
      </w:r>
    </w:p>
    <w:p w14:paraId="78E72B3A" w14:textId="07FA0D0D" w:rsidR="0055506C" w:rsidRPr="00A641F2" w:rsidRDefault="0055506C">
      <w:pPr>
        <w:pStyle w:val="GuideMarginHead-ASDEFCON"/>
      </w:pPr>
      <w:r w:rsidRPr="00A641F2">
        <w:t xml:space="preserve">Clause </w:t>
      </w:r>
      <w:r w:rsidR="00F567C3">
        <w:t>15</w:t>
      </w:r>
      <w:r w:rsidRPr="00A641F2">
        <w:t>.</w:t>
      </w:r>
      <w:r w:rsidR="00E04B91" w:rsidRPr="00A641F2">
        <w:t>8</w:t>
      </w:r>
      <w:r w:rsidRPr="00A641F2">
        <w:t>:</w:t>
      </w:r>
      <w:r w:rsidRPr="00A641F2">
        <w:tab/>
      </w:r>
      <w:r w:rsidRPr="00A641F2">
        <w:rPr>
          <w:u w:val="single"/>
        </w:rPr>
        <w:t>Commonwealth Representative’s Directions.</w:t>
      </w:r>
      <w:r w:rsidRPr="00A641F2">
        <w:t xml:space="preserve">  This clause allows the Commonwealth to manage the priorities and direction of CSC Tasks. Clause </w:t>
      </w:r>
      <w:r w:rsidR="00F567C3">
        <w:t>15</w:t>
      </w:r>
      <w:r w:rsidRPr="00A641F2">
        <w:t>.</w:t>
      </w:r>
      <w:r w:rsidR="00040A1C" w:rsidRPr="00A641F2">
        <w:t xml:space="preserve">8 </w:t>
      </w:r>
      <w:r w:rsidRPr="00A641F2">
        <w:t>allow</w:t>
      </w:r>
      <w:r w:rsidR="00040A1C" w:rsidRPr="00A641F2">
        <w:t>s</w:t>
      </w:r>
      <w:r w:rsidRPr="00A641F2">
        <w:t xml:space="preserve"> the Commonwealth Representative to request a change, for the reasons described, within the limits of the contract. </w:t>
      </w:r>
      <w:r w:rsidR="00040A1C" w:rsidRPr="00A641F2">
        <w:t xml:space="preserve">Clauses </w:t>
      </w:r>
      <w:r w:rsidR="00F567C3">
        <w:t>15</w:t>
      </w:r>
      <w:r w:rsidR="00040A1C" w:rsidRPr="00A641F2">
        <w:t xml:space="preserve">.8.2 and </w:t>
      </w:r>
      <w:r w:rsidR="00F567C3">
        <w:t>15</w:t>
      </w:r>
      <w:r w:rsidR="00040A1C" w:rsidRPr="00A641F2">
        <w:t xml:space="preserve">.8.3 concern the Commonwealth’s rights and the Contractors responsibilities if the Commonwealth has requested work to stop on any CSC task. </w:t>
      </w:r>
      <w:r w:rsidRPr="00A641F2">
        <w:t>Clause</w:t>
      </w:r>
      <w:r w:rsidR="00347CD3" w:rsidRPr="00A641F2">
        <w:t>s</w:t>
      </w:r>
      <w:r w:rsidRPr="00A641F2">
        <w:t xml:space="preserve"> </w:t>
      </w:r>
      <w:r w:rsidR="00F567C3">
        <w:t>15</w:t>
      </w:r>
      <w:r w:rsidRPr="00A641F2">
        <w:t>.</w:t>
      </w:r>
      <w:r w:rsidR="00040A1C" w:rsidRPr="00A641F2">
        <w:t>8</w:t>
      </w:r>
      <w:r w:rsidRPr="00A641F2">
        <w:t>.</w:t>
      </w:r>
      <w:r w:rsidR="00040A1C" w:rsidRPr="00A641F2">
        <w:t>4</w:t>
      </w:r>
      <w:r w:rsidR="00347CD3" w:rsidRPr="00A641F2">
        <w:t xml:space="preserve"> and </w:t>
      </w:r>
      <w:r w:rsidR="00E012C2">
        <w:t>15</w:t>
      </w:r>
      <w:r w:rsidR="00347CD3" w:rsidRPr="00A641F2">
        <w:t xml:space="preserve">.8.5 </w:t>
      </w:r>
      <w:r w:rsidRPr="00A641F2">
        <w:t>allow the Contractor to assess the impact of the pro</w:t>
      </w:r>
      <w:r w:rsidR="00347CD3" w:rsidRPr="00A641F2">
        <w:t>po</w:t>
      </w:r>
      <w:r w:rsidRPr="00A641F2">
        <w:t xml:space="preserve">sed change and for the Commonwealth Representative to make a final decision.  Clause </w:t>
      </w:r>
      <w:r w:rsidR="00F567C3">
        <w:t>15</w:t>
      </w:r>
      <w:r w:rsidRPr="00A641F2">
        <w:t>.</w:t>
      </w:r>
      <w:r w:rsidR="00220A96" w:rsidRPr="00A641F2">
        <w:t>8</w:t>
      </w:r>
      <w:r w:rsidRPr="00A641F2">
        <w:t>.</w:t>
      </w:r>
      <w:r w:rsidR="0050276F" w:rsidRPr="00A641F2">
        <w:t>6</w:t>
      </w:r>
      <w:r w:rsidRPr="00A641F2">
        <w:t xml:space="preserve"> requires the Contractor to comply with the change</w:t>
      </w:r>
      <w:r w:rsidR="0050276F" w:rsidRPr="00A641F2">
        <w:t>,</w:t>
      </w:r>
      <w:r w:rsidRPr="00A641F2">
        <w:t xml:space="preserve"> while clause</w:t>
      </w:r>
      <w:r w:rsidR="00220A96" w:rsidRPr="00A641F2">
        <w:t>s</w:t>
      </w:r>
      <w:r w:rsidRPr="00A641F2">
        <w:t xml:space="preserve"> </w:t>
      </w:r>
      <w:r w:rsidR="00F567C3">
        <w:t>15</w:t>
      </w:r>
      <w:r w:rsidRPr="00A641F2">
        <w:t>.</w:t>
      </w:r>
      <w:r w:rsidR="00220A96" w:rsidRPr="00A641F2">
        <w:t>8</w:t>
      </w:r>
      <w:r w:rsidRPr="00A641F2">
        <w:t>.</w:t>
      </w:r>
      <w:r w:rsidR="0050276F" w:rsidRPr="00A641F2">
        <w:t>7</w:t>
      </w:r>
      <w:r w:rsidR="00220A96" w:rsidRPr="00A641F2">
        <w:t xml:space="preserve"> and </w:t>
      </w:r>
      <w:r w:rsidR="00F567C3">
        <w:t>15</w:t>
      </w:r>
      <w:r w:rsidR="00220A96" w:rsidRPr="00A641F2">
        <w:t>.8.8</w:t>
      </w:r>
      <w:r w:rsidRPr="00A641F2">
        <w:t xml:space="preserve"> allow for the Contractor to claim corresponding adjustments </w:t>
      </w:r>
      <w:r w:rsidR="00220A96" w:rsidRPr="00A641F2">
        <w:t>to any CSC Task Plans</w:t>
      </w:r>
      <w:r w:rsidRPr="00A641F2">
        <w:t>, if applicable</w:t>
      </w:r>
      <w:r w:rsidR="00220A96" w:rsidRPr="00A641F2">
        <w:t>, and reasonable costs.</w:t>
      </w:r>
      <w:r w:rsidRPr="00A641F2">
        <w:t xml:space="preserve">  </w:t>
      </w:r>
      <w:r w:rsidR="0050276F" w:rsidRPr="00A641F2">
        <w:t>C</w:t>
      </w:r>
      <w:r w:rsidRPr="00A641F2">
        <w:t xml:space="preserve">lause </w:t>
      </w:r>
      <w:r w:rsidR="00F567C3">
        <w:t>15</w:t>
      </w:r>
      <w:r w:rsidRPr="00A641F2">
        <w:t>.</w:t>
      </w:r>
      <w:r w:rsidR="00220A96" w:rsidRPr="00A641F2">
        <w:t>8</w:t>
      </w:r>
      <w:r w:rsidRPr="00A641F2">
        <w:t>.</w:t>
      </w:r>
      <w:r w:rsidR="00220A96" w:rsidRPr="00A641F2">
        <w:t>9</w:t>
      </w:r>
      <w:r w:rsidRPr="00A641F2">
        <w:t xml:space="preserve"> clarifies that the claims under </w:t>
      </w:r>
      <w:r w:rsidR="00F567C3">
        <w:t>15</w:t>
      </w:r>
      <w:r w:rsidRPr="00A641F2">
        <w:t>.</w:t>
      </w:r>
      <w:r w:rsidR="00220A96" w:rsidRPr="00A641F2">
        <w:t>8</w:t>
      </w:r>
      <w:r w:rsidRPr="00A641F2">
        <w:t xml:space="preserve"> are the limits of any such claims. </w:t>
      </w:r>
    </w:p>
    <w:p w14:paraId="577248A1" w14:textId="35337485" w:rsidR="0055506C" w:rsidRPr="00A641F2" w:rsidRDefault="0055506C">
      <w:pPr>
        <w:pStyle w:val="GuideMarginHead-ASDEFCON"/>
      </w:pPr>
      <w:r w:rsidRPr="00A641F2">
        <w:t xml:space="preserve">Clause </w:t>
      </w:r>
      <w:r w:rsidR="00F567C3">
        <w:t>15</w:t>
      </w:r>
      <w:r w:rsidRPr="00A641F2">
        <w:t>.</w:t>
      </w:r>
      <w:r w:rsidR="00E04B91" w:rsidRPr="00A641F2">
        <w:t>9</w:t>
      </w:r>
      <w:r w:rsidRPr="00A641F2">
        <w:t>:</w:t>
      </w:r>
      <w:r w:rsidRPr="00A641F2">
        <w:tab/>
      </w:r>
      <w:r w:rsidRPr="00A641F2">
        <w:rPr>
          <w:u w:val="single"/>
        </w:rPr>
        <w:t>CSC Impact on Contract Services.</w:t>
      </w:r>
      <w:r w:rsidRPr="00A641F2">
        <w:t xml:space="preserve">  Clause </w:t>
      </w:r>
      <w:r w:rsidR="00F567C3">
        <w:t>15</w:t>
      </w:r>
      <w:r w:rsidRPr="00A641F2">
        <w:t>.</w:t>
      </w:r>
      <w:r w:rsidR="0050276F" w:rsidRPr="00A641F2">
        <w:t>3</w:t>
      </w:r>
      <w:r w:rsidRPr="00A641F2">
        <w:t>.</w:t>
      </w:r>
      <w:r w:rsidR="0050276F" w:rsidRPr="00A641F2">
        <w:t>2</w:t>
      </w:r>
      <w:r w:rsidRPr="00A641F2">
        <w:t xml:space="preserve"> allowed the </w:t>
      </w:r>
      <w:r w:rsidR="0050276F" w:rsidRPr="00A641F2">
        <w:t xml:space="preserve">Approved </w:t>
      </w:r>
      <w:r w:rsidRPr="00A641F2">
        <w:t xml:space="preserve">CSC Task Plan to result </w:t>
      </w:r>
      <w:r w:rsidR="0050276F" w:rsidRPr="00A641F2">
        <w:t xml:space="preserve">effectively </w:t>
      </w:r>
      <w:r w:rsidRPr="00A641F2">
        <w:t>in amendments to the Contract</w:t>
      </w:r>
      <w:r w:rsidR="0050276F" w:rsidRPr="00A641F2">
        <w:t xml:space="preserve"> (eg, use of GFE not listed in Attachment E)</w:t>
      </w:r>
      <w:r w:rsidRPr="00A641F2">
        <w:t xml:space="preserve">.  </w:t>
      </w:r>
      <w:r w:rsidR="0050276F" w:rsidRPr="00A641F2">
        <w:t xml:space="preserve">However, in some instances a CSC Task will result in a permanent change to the Contract (eg, new </w:t>
      </w:r>
      <w:r w:rsidR="00B81F60">
        <w:t xml:space="preserve">or modified </w:t>
      </w:r>
      <w:r w:rsidR="0050276F" w:rsidRPr="00A641F2">
        <w:t xml:space="preserve">Products Being Supported </w:t>
      </w:r>
      <w:r w:rsidR="00B81F60">
        <w:t>with</w:t>
      </w:r>
      <w:r w:rsidR="00B81F60" w:rsidRPr="00A641F2">
        <w:t xml:space="preserve"> </w:t>
      </w:r>
      <w:r w:rsidR="0050276F" w:rsidRPr="00A641F2">
        <w:t>new or modified part numbers).  In such cases, c</w:t>
      </w:r>
      <w:r w:rsidRPr="00A641F2">
        <w:t xml:space="preserve">lause </w:t>
      </w:r>
      <w:r w:rsidR="00F567C3">
        <w:t>15</w:t>
      </w:r>
      <w:r w:rsidR="0050276F" w:rsidRPr="00A641F2">
        <w:t>.</w:t>
      </w:r>
      <w:r w:rsidR="00EC0126">
        <w:t>9</w:t>
      </w:r>
      <w:r w:rsidR="0050276F" w:rsidRPr="00A641F2">
        <w:t xml:space="preserve"> </w:t>
      </w:r>
      <w:r w:rsidRPr="00A641F2">
        <w:t xml:space="preserve">requires that a CCP is prepared and submitted in accordance with clause </w:t>
      </w:r>
      <w:r w:rsidR="00E012C2">
        <w:t>11</w:t>
      </w:r>
      <w:r w:rsidRPr="00A641F2">
        <w:t>.1</w:t>
      </w:r>
      <w:r w:rsidR="0050276F" w:rsidRPr="00A641F2">
        <w:t>.</w:t>
      </w:r>
    </w:p>
    <w:p w14:paraId="56592C5E" w14:textId="49962D40" w:rsidR="0055506C" w:rsidRPr="00A641F2" w:rsidRDefault="0055506C">
      <w:pPr>
        <w:pStyle w:val="GuideLV2Head-ASDEFCON"/>
      </w:pPr>
      <w:bookmarkStart w:id="115" w:name="_Toc423808636"/>
      <w:bookmarkStart w:id="116" w:name="_Toc519256361"/>
      <w:bookmarkStart w:id="117" w:name="_Toc519256744"/>
      <w:bookmarkStart w:id="118" w:name="_Toc522618372"/>
      <w:bookmarkStart w:id="119" w:name="_Toc84506585"/>
      <w:r w:rsidRPr="00A641F2">
        <w:t>Attachments</w:t>
      </w:r>
      <w:bookmarkEnd w:id="115"/>
      <w:bookmarkEnd w:id="116"/>
      <w:bookmarkEnd w:id="117"/>
      <w:bookmarkEnd w:id="118"/>
      <w:bookmarkEnd w:id="119"/>
    </w:p>
    <w:p w14:paraId="3607F0DC" w14:textId="570A2917" w:rsidR="0055506C" w:rsidRPr="00A641F2" w:rsidRDefault="0055506C">
      <w:pPr>
        <w:pStyle w:val="GuideMarginHead-ASDEFCON"/>
      </w:pPr>
      <w:r w:rsidRPr="00A641F2">
        <w:t>Attachment B:</w:t>
      </w:r>
      <w:r w:rsidRPr="00A641F2">
        <w:tab/>
        <w:t xml:space="preserve">Drafters must incorporate the changes in the file </w:t>
      </w:r>
      <w:r w:rsidR="00DF5027" w:rsidRPr="00224840">
        <w:rPr>
          <w:i/>
        </w:rPr>
        <w:t>’0</w:t>
      </w:r>
      <w:r w:rsidR="00A13BDC" w:rsidRPr="00224840">
        <w:rPr>
          <w:i/>
        </w:rPr>
        <w:t>4</w:t>
      </w:r>
      <w:r w:rsidRPr="0093113F">
        <w:rPr>
          <w:i/>
        </w:rPr>
        <w:t>_</w:t>
      </w:r>
      <w:r w:rsidR="00DF5027" w:rsidRPr="0093113F">
        <w:rPr>
          <w:i/>
        </w:rPr>
        <w:t>SPT</w:t>
      </w:r>
      <w:r w:rsidR="00505D9A">
        <w:rPr>
          <w:i/>
        </w:rPr>
        <w:fldChar w:fldCharType="begin"/>
      </w:r>
      <w:r w:rsidR="00505D9A">
        <w:rPr>
          <w:i/>
        </w:rPr>
        <w:instrText xml:space="preserve"> DOCPROPERTY  Version  \* MERGEFORMAT </w:instrText>
      </w:r>
      <w:r w:rsidR="00505D9A">
        <w:rPr>
          <w:i/>
        </w:rPr>
        <w:fldChar w:fldCharType="separate"/>
      </w:r>
      <w:r w:rsidR="00505D9A">
        <w:rPr>
          <w:i/>
        </w:rPr>
        <w:t>V5.0</w:t>
      </w:r>
      <w:r w:rsidR="00505D9A">
        <w:rPr>
          <w:i/>
        </w:rPr>
        <w:fldChar w:fldCharType="end"/>
      </w:r>
      <w:r w:rsidR="00DF5027" w:rsidRPr="0093113F">
        <w:rPr>
          <w:i/>
        </w:rPr>
        <w:t>_CSC_CATTB_PriceAndPayment</w:t>
      </w:r>
      <w:r w:rsidR="00DF5027">
        <w:rPr>
          <w:i/>
        </w:rPr>
        <w:t>s</w:t>
      </w:r>
      <w:r w:rsidR="00DF5027">
        <w:t>’</w:t>
      </w:r>
      <w:r w:rsidRPr="00A641F2">
        <w:t xml:space="preserve"> </w:t>
      </w:r>
      <w:r w:rsidR="002B7875">
        <w:t>in</w:t>
      </w:r>
      <w:r w:rsidRPr="00A641F2">
        <w:t xml:space="preserve">to Attachment B in the draft Contract.  </w:t>
      </w:r>
    </w:p>
    <w:p w14:paraId="69AFF22C" w14:textId="28ABCFD3" w:rsidR="0055506C" w:rsidRPr="00A641F2" w:rsidRDefault="0055506C">
      <w:pPr>
        <w:pStyle w:val="GuideMarginHead-ASDEFCON"/>
      </w:pPr>
      <w:r w:rsidRPr="00A641F2">
        <w:t>Attachment M:</w:t>
      </w:r>
      <w:r w:rsidRPr="00A641F2">
        <w:tab/>
        <w:t xml:space="preserve">Drafters must incorporate the changes in the file </w:t>
      </w:r>
      <w:r w:rsidR="00071D2B">
        <w:t>‘</w:t>
      </w:r>
      <w:r w:rsidR="00DF5027" w:rsidRPr="0093113F">
        <w:rPr>
          <w:i/>
        </w:rPr>
        <w:t>0</w:t>
      </w:r>
      <w:r w:rsidR="00A13BDC" w:rsidRPr="00224840">
        <w:rPr>
          <w:i/>
        </w:rPr>
        <w:t>5</w:t>
      </w:r>
      <w:r w:rsidRPr="0093113F">
        <w:rPr>
          <w:i/>
        </w:rPr>
        <w:t>_</w:t>
      </w:r>
      <w:r w:rsidR="00E012C2" w:rsidRPr="0093113F">
        <w:rPr>
          <w:i/>
        </w:rPr>
        <w:t>SPT</w:t>
      </w:r>
      <w:r w:rsidR="00505D9A">
        <w:rPr>
          <w:i/>
        </w:rPr>
        <w:fldChar w:fldCharType="begin"/>
      </w:r>
      <w:r w:rsidR="00505D9A">
        <w:rPr>
          <w:i/>
        </w:rPr>
        <w:instrText xml:space="preserve"> DOCPROPERTY  Version  \* MERGEFORMAT </w:instrText>
      </w:r>
      <w:r w:rsidR="00505D9A">
        <w:rPr>
          <w:i/>
        </w:rPr>
        <w:fldChar w:fldCharType="separate"/>
      </w:r>
      <w:r w:rsidR="00505D9A">
        <w:rPr>
          <w:i/>
        </w:rPr>
        <w:t>V5.0</w:t>
      </w:r>
      <w:r w:rsidR="00505D9A">
        <w:rPr>
          <w:i/>
        </w:rPr>
        <w:fldChar w:fldCharType="end"/>
      </w:r>
      <w:r w:rsidR="00E012C2">
        <w:rPr>
          <w:i/>
        </w:rPr>
        <w:t>_CSC_CATTM_Glossary</w:t>
      </w:r>
      <w:r w:rsidR="00071D2B">
        <w:rPr>
          <w:i/>
        </w:rPr>
        <w:t>’</w:t>
      </w:r>
      <w:r w:rsidRPr="00A641F2">
        <w:t xml:space="preserve"> to Attachment M in the draft Contract.  Definitions are to be reviewed and updated as indicated.</w:t>
      </w:r>
    </w:p>
    <w:p w14:paraId="1DEA826A" w14:textId="092863EA" w:rsidR="0055506C" w:rsidRPr="00A641F2" w:rsidRDefault="008A51DD">
      <w:pPr>
        <w:pStyle w:val="GuideLV1Head-ASDEFCON"/>
      </w:pPr>
      <w:bookmarkStart w:id="120" w:name="_Toc423808637"/>
      <w:bookmarkStart w:id="121" w:name="_Toc519256362"/>
      <w:bookmarkStart w:id="122" w:name="_Toc519256745"/>
      <w:bookmarkStart w:id="123" w:name="_Toc522618373"/>
      <w:bookmarkStart w:id="124" w:name="_Toc84506586"/>
      <w:r w:rsidRPr="00A641F2">
        <w:t>TAILORING GUIDANCE FOR THE STATEMENT OF WORK</w:t>
      </w:r>
      <w:bookmarkEnd w:id="120"/>
      <w:bookmarkEnd w:id="121"/>
      <w:bookmarkEnd w:id="122"/>
      <w:bookmarkEnd w:id="123"/>
      <w:bookmarkEnd w:id="124"/>
    </w:p>
    <w:p w14:paraId="4899DCB9" w14:textId="2D0F2DC1" w:rsidR="0055506C" w:rsidRPr="00A641F2" w:rsidRDefault="0055506C">
      <w:pPr>
        <w:pStyle w:val="GuideLV2Head-ASDEFCON"/>
      </w:pPr>
      <w:bookmarkStart w:id="125" w:name="_Toc423808638"/>
      <w:bookmarkStart w:id="126" w:name="_Toc519256363"/>
      <w:bookmarkStart w:id="127" w:name="_Toc519256746"/>
      <w:bookmarkStart w:id="128" w:name="_Toc522618374"/>
      <w:bookmarkStart w:id="129" w:name="_Toc84506587"/>
      <w:r w:rsidRPr="00A641F2">
        <w:t>SOW and Annexes</w:t>
      </w:r>
      <w:bookmarkEnd w:id="125"/>
      <w:bookmarkEnd w:id="126"/>
      <w:bookmarkEnd w:id="127"/>
      <w:bookmarkEnd w:id="128"/>
      <w:bookmarkEnd w:id="129"/>
    </w:p>
    <w:p w14:paraId="51B5723C" w14:textId="29FEC104" w:rsidR="0055506C" w:rsidRPr="00A641F2" w:rsidRDefault="0055506C">
      <w:pPr>
        <w:pStyle w:val="GuideText-ASDEFCON"/>
      </w:pPr>
      <w:r w:rsidRPr="00A641F2">
        <w:t xml:space="preserve">Drafters must incorporate the changes in the file </w:t>
      </w:r>
      <w:r w:rsidR="00071D2B">
        <w:t>‘</w:t>
      </w:r>
      <w:r w:rsidR="00DF5027" w:rsidRPr="0093113F">
        <w:rPr>
          <w:i/>
        </w:rPr>
        <w:t>0</w:t>
      </w:r>
      <w:r w:rsidR="00A13BDC" w:rsidRPr="00224840">
        <w:rPr>
          <w:i/>
        </w:rPr>
        <w:t>6</w:t>
      </w:r>
      <w:r w:rsidRPr="0093113F">
        <w:rPr>
          <w:i/>
        </w:rPr>
        <w:t>_</w:t>
      </w:r>
      <w:r w:rsidR="002F73D4" w:rsidRPr="0093113F">
        <w:rPr>
          <w:i/>
        </w:rPr>
        <w:t>SPT</w:t>
      </w:r>
      <w:r w:rsidR="00505D9A">
        <w:rPr>
          <w:i/>
        </w:rPr>
        <w:fldChar w:fldCharType="begin"/>
      </w:r>
      <w:r w:rsidR="00505D9A">
        <w:rPr>
          <w:i/>
        </w:rPr>
        <w:instrText xml:space="preserve"> DOCPROPERTY  Version  \* MERGEFORMAT </w:instrText>
      </w:r>
      <w:r w:rsidR="00505D9A">
        <w:rPr>
          <w:i/>
        </w:rPr>
        <w:fldChar w:fldCharType="separate"/>
      </w:r>
      <w:r w:rsidR="00505D9A">
        <w:rPr>
          <w:i/>
        </w:rPr>
        <w:t>V5.0</w:t>
      </w:r>
      <w:r w:rsidR="00505D9A">
        <w:rPr>
          <w:i/>
        </w:rPr>
        <w:fldChar w:fldCharType="end"/>
      </w:r>
      <w:r w:rsidR="002F73D4">
        <w:rPr>
          <w:i/>
        </w:rPr>
        <w:t>_CSC_SOW</w:t>
      </w:r>
      <w:r w:rsidR="00071D2B">
        <w:rPr>
          <w:i/>
        </w:rPr>
        <w:t>’</w:t>
      </w:r>
      <w:r w:rsidRPr="00A641F2">
        <w:t xml:space="preserve"> into SOW clause 5.5</w:t>
      </w:r>
      <w:r w:rsidR="002637CC">
        <w:t xml:space="preserve"> and SOW</w:t>
      </w:r>
      <w:r w:rsidRPr="00A641F2">
        <w:t xml:space="preserve"> Annex B, the Contract Services Requirements </w:t>
      </w:r>
      <w:r w:rsidR="00CC519A" w:rsidRPr="00A641F2">
        <w:t xml:space="preserve">List </w:t>
      </w:r>
      <w:r w:rsidRPr="00A641F2">
        <w:t>(CSRL)</w:t>
      </w:r>
      <w:r w:rsidR="00CC519A" w:rsidRPr="00A641F2">
        <w:t>,</w:t>
      </w:r>
      <w:r w:rsidRPr="00A641F2">
        <w:t xml:space="preserve"> and</w:t>
      </w:r>
      <w:r w:rsidR="002637CC">
        <w:t xml:space="preserve"> SOW Annex C,</w:t>
      </w:r>
      <w:r w:rsidRPr="00A641F2">
        <w:t xml:space="preserve"> </w:t>
      </w:r>
      <w:r w:rsidR="00CC519A" w:rsidRPr="00A641F2">
        <w:t xml:space="preserve">the </w:t>
      </w:r>
      <w:r w:rsidRPr="00A641F2">
        <w:t>Contract Data Requirements List (CDRL)</w:t>
      </w:r>
      <w:r w:rsidR="00CC519A" w:rsidRPr="00A641F2">
        <w:t>,</w:t>
      </w:r>
      <w:r w:rsidRPr="00A641F2">
        <w:t xml:space="preserve"> as indicated.</w:t>
      </w:r>
    </w:p>
    <w:p w14:paraId="38EC3726" w14:textId="3D9F94C3" w:rsidR="0055506C" w:rsidRPr="00A641F2" w:rsidRDefault="0055506C">
      <w:pPr>
        <w:pStyle w:val="GuideText-ASDEFCON"/>
      </w:pPr>
      <w:r w:rsidRPr="00A641F2">
        <w:t>The additional requirements for CSC management are to be transferred to clause 6.</w:t>
      </w:r>
      <w:r w:rsidR="004D5D79">
        <w:t>3.6</w:t>
      </w:r>
      <w:r w:rsidRPr="00A641F2">
        <w:t xml:space="preserve"> of DID-ENG-CEMP (</w:t>
      </w:r>
      <w:r w:rsidR="00CC519A" w:rsidRPr="00A641F2">
        <w:t xml:space="preserve">where a clause that </w:t>
      </w:r>
      <w:r w:rsidRPr="00A641F2">
        <w:t xml:space="preserve">is currently </w:t>
      </w:r>
      <w:r w:rsidR="00071D2B">
        <w:t>‘</w:t>
      </w:r>
      <w:r w:rsidRPr="00A641F2">
        <w:t>Not used</w:t>
      </w:r>
      <w:r w:rsidR="00071D2B">
        <w:t>’</w:t>
      </w:r>
      <w:r w:rsidRPr="00A641F2">
        <w:t xml:space="preserve"> act</w:t>
      </w:r>
      <w:r w:rsidR="00CC519A" w:rsidRPr="00A641F2">
        <w:t>s</w:t>
      </w:r>
      <w:r w:rsidRPr="00A641F2">
        <w:t xml:space="preserve"> as a placeholder).</w:t>
      </w:r>
    </w:p>
    <w:p w14:paraId="590C6DFE" w14:textId="198AB984" w:rsidR="0055506C" w:rsidRPr="00A641F2" w:rsidRDefault="0055506C">
      <w:pPr>
        <w:pStyle w:val="GuideLV2Head-ASDEFCON"/>
      </w:pPr>
      <w:bookmarkStart w:id="130" w:name="_Toc423808639"/>
      <w:bookmarkStart w:id="131" w:name="_Toc519256364"/>
      <w:bookmarkStart w:id="132" w:name="_Toc519256747"/>
      <w:bookmarkStart w:id="133" w:name="_Toc522618375"/>
      <w:bookmarkStart w:id="134" w:name="_Toc84506588"/>
      <w:r w:rsidRPr="00A641F2">
        <w:t>DSD-ENG-CSC</w:t>
      </w:r>
      <w:bookmarkEnd w:id="130"/>
      <w:bookmarkEnd w:id="131"/>
      <w:bookmarkEnd w:id="132"/>
      <w:bookmarkEnd w:id="133"/>
      <w:bookmarkEnd w:id="134"/>
    </w:p>
    <w:p w14:paraId="4CE48429" w14:textId="77777777" w:rsidR="0055506C" w:rsidRPr="00A641F2" w:rsidRDefault="0055506C">
      <w:pPr>
        <w:pStyle w:val="GuideText-ASDEFCON"/>
      </w:pPr>
      <w:r w:rsidRPr="00A641F2">
        <w:t>Refer to DSD-ENG-CSC for embedded guidance in section 1 and the notes to drafters.</w:t>
      </w:r>
    </w:p>
    <w:p w14:paraId="75AEFF65" w14:textId="77777777" w:rsidR="0055506C" w:rsidRPr="00A641F2" w:rsidRDefault="0055506C">
      <w:pPr>
        <w:pStyle w:val="GuideLV2Head-ASDEFCON"/>
      </w:pPr>
      <w:bookmarkStart w:id="135" w:name="_Toc423808640"/>
      <w:bookmarkStart w:id="136" w:name="_Toc519256365"/>
      <w:bookmarkStart w:id="137" w:name="_Toc519256748"/>
      <w:bookmarkStart w:id="138" w:name="_Toc522618376"/>
      <w:bookmarkStart w:id="139" w:name="_Toc84506589"/>
      <w:r w:rsidRPr="00A641F2">
        <w:t>Data Item Descriptions</w:t>
      </w:r>
      <w:bookmarkEnd w:id="135"/>
      <w:bookmarkEnd w:id="136"/>
      <w:bookmarkEnd w:id="137"/>
      <w:bookmarkEnd w:id="138"/>
      <w:bookmarkEnd w:id="139"/>
    </w:p>
    <w:p w14:paraId="5588B21D" w14:textId="77777777" w:rsidR="0055506C" w:rsidRPr="00A641F2" w:rsidRDefault="0055506C">
      <w:pPr>
        <w:pStyle w:val="GuideText-ASDEFCON"/>
      </w:pPr>
      <w:r w:rsidRPr="00A641F2">
        <w:t>The CEMP should be amended as indicated above.</w:t>
      </w:r>
    </w:p>
    <w:p w14:paraId="7825D614" w14:textId="77777777" w:rsidR="0055506C" w:rsidRPr="00A641F2" w:rsidRDefault="0055506C">
      <w:pPr>
        <w:pStyle w:val="GuideText-ASDEFCON"/>
      </w:pPr>
      <w:r w:rsidRPr="00A641F2">
        <w:t xml:space="preserve">The </w:t>
      </w:r>
      <w:r w:rsidRPr="00A641F2">
        <w:rPr>
          <w:i/>
        </w:rPr>
        <w:t>CSC Module</w:t>
      </w:r>
      <w:r w:rsidRPr="00A641F2">
        <w:t xml:space="preserve"> DID</w:t>
      </w:r>
      <w:r w:rsidR="00CC519A" w:rsidRPr="00A641F2">
        <w:t>s</w:t>
      </w:r>
      <w:r w:rsidRPr="00A641F2">
        <w:t>: DID-ENG-CSCMS, DID-ENG-CSCSR and DID-ENG-CSCTP do not require tailoring.</w:t>
      </w:r>
    </w:p>
    <w:p w14:paraId="5E92AB69" w14:textId="6E931B5C" w:rsidR="0055506C" w:rsidRPr="00A641F2" w:rsidRDefault="0055506C">
      <w:pPr>
        <w:pStyle w:val="GuideText-ASDEFCON"/>
      </w:pPr>
      <w:r w:rsidRPr="00A641F2">
        <w:t xml:space="preserve">Drafters must include the updated CEMP and </w:t>
      </w:r>
      <w:r w:rsidRPr="00A641F2">
        <w:rPr>
          <w:i/>
        </w:rPr>
        <w:t>CSC Module</w:t>
      </w:r>
      <w:r w:rsidRPr="00A641F2">
        <w:t xml:space="preserve"> DIDs with the other DIDs in Schedule 1 to Annex C, the CDRL.</w:t>
      </w:r>
    </w:p>
    <w:p w14:paraId="3BC6B595" w14:textId="77777777" w:rsidR="00483C9D" w:rsidRPr="00A641F2" w:rsidRDefault="00483C9D" w:rsidP="00483C9D"/>
    <w:sectPr w:rsidR="00483C9D" w:rsidRPr="00A641F2" w:rsidSect="00F65BAD">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304" w:right="1417" w:bottom="90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CB787" w14:textId="77777777" w:rsidR="00A34BFD" w:rsidRDefault="00A34BFD">
      <w:r>
        <w:separator/>
      </w:r>
    </w:p>
    <w:p w14:paraId="5229823F" w14:textId="77777777" w:rsidR="00A34BFD" w:rsidRDefault="00A34BFD"/>
  </w:endnote>
  <w:endnote w:type="continuationSeparator" w:id="0">
    <w:p w14:paraId="653F1737" w14:textId="77777777" w:rsidR="00A34BFD" w:rsidRDefault="00A34BFD">
      <w:r>
        <w:continuationSeparator/>
      </w:r>
    </w:p>
    <w:p w14:paraId="406A961C" w14:textId="77777777" w:rsidR="00A34BFD" w:rsidRDefault="00A3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DC2F9" w14:textId="77777777" w:rsidR="000155F3" w:rsidRDefault="000155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1077814"/>
      <w:docPartObj>
        <w:docPartGallery w:val="Page Numbers (Bottom of Page)"/>
        <w:docPartUnique/>
      </w:docPartObj>
    </w:sdtPr>
    <w:sdtEndPr>
      <w:rPr>
        <w:noProof/>
      </w:rPr>
    </w:sdtEndPr>
    <w:sdtContent>
      <w:p w14:paraId="1E304923" w14:textId="2563D19F" w:rsidR="00A34BFD" w:rsidRDefault="00A34BFD">
        <w:pPr>
          <w:pStyle w:val="Footer"/>
          <w:jc w:val="right"/>
        </w:pPr>
        <w:r w:rsidRPr="00020085">
          <w:rPr>
            <w:sz w:val="16"/>
            <w:szCs w:val="16"/>
          </w:rPr>
          <w:fldChar w:fldCharType="begin"/>
        </w:r>
        <w:r w:rsidRPr="00020085">
          <w:rPr>
            <w:sz w:val="16"/>
            <w:szCs w:val="16"/>
          </w:rPr>
          <w:instrText xml:space="preserve"> PAGE   \* MERGEFORMAT </w:instrText>
        </w:r>
        <w:r w:rsidRPr="00020085">
          <w:rPr>
            <w:sz w:val="16"/>
            <w:szCs w:val="16"/>
          </w:rPr>
          <w:fldChar w:fldCharType="separate"/>
        </w:r>
        <w:r w:rsidR="00081E29">
          <w:rPr>
            <w:noProof/>
            <w:sz w:val="16"/>
            <w:szCs w:val="16"/>
          </w:rPr>
          <w:t>8</w:t>
        </w:r>
        <w:r w:rsidRPr="00020085">
          <w:rPr>
            <w:noProof/>
            <w:sz w:val="16"/>
            <w:szCs w:val="16"/>
          </w:rPr>
          <w:fldChar w:fldCharType="end"/>
        </w:r>
      </w:p>
    </w:sdtContent>
  </w:sdt>
  <w:p w14:paraId="3D727AF0" w14:textId="12F1D829" w:rsidR="00A34BFD" w:rsidRDefault="00081E29" w:rsidP="000155F3">
    <w:pPr>
      <w:pStyle w:val="ASDEFCONHeaderFooterClassification"/>
    </w:pPr>
    <w:r>
      <w:fldChar w:fldCharType="begin"/>
    </w:r>
    <w:r>
      <w:instrText xml:space="preserve"> DOCPROPERTY  Classification  \* MERGEFORMAT </w:instrText>
    </w:r>
    <w:r>
      <w:fldChar w:fldCharType="separate"/>
    </w:r>
    <w:r w:rsidR="000155F3">
      <w:t>OFFICIAL</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4EEA5" w14:textId="77777777" w:rsidR="000155F3" w:rsidRDefault="000155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A2625" w14:textId="77777777" w:rsidR="00A34BFD" w:rsidRDefault="00A34BFD">
      <w:r>
        <w:separator/>
      </w:r>
    </w:p>
    <w:p w14:paraId="52E62F62" w14:textId="77777777" w:rsidR="00A34BFD" w:rsidRDefault="00A34BFD"/>
  </w:footnote>
  <w:footnote w:type="continuationSeparator" w:id="0">
    <w:p w14:paraId="24D97618" w14:textId="77777777" w:rsidR="00A34BFD" w:rsidRDefault="00A34BFD">
      <w:r>
        <w:continuationSeparator/>
      </w:r>
    </w:p>
    <w:p w14:paraId="45943176" w14:textId="77777777" w:rsidR="00A34BFD" w:rsidRDefault="00A34BFD"/>
  </w:footnote>
  <w:footnote w:id="1">
    <w:p w14:paraId="5669DB95" w14:textId="77777777" w:rsidR="00A34BFD" w:rsidRPr="00E37FDB" w:rsidRDefault="00A34BFD" w:rsidP="00E37FDB">
      <w:pPr>
        <w:pStyle w:val="FootnoteText"/>
        <w:rPr>
          <w:sz w:val="16"/>
          <w:szCs w:val="16"/>
        </w:rPr>
      </w:pPr>
      <w:r>
        <w:rPr>
          <w:rStyle w:val="FootnoteReference"/>
        </w:rPr>
        <w:footnoteRef/>
      </w:r>
      <w:r>
        <w:t xml:space="preserve"> </w:t>
      </w:r>
      <w:r w:rsidRPr="00E37FDB">
        <w:rPr>
          <w:sz w:val="16"/>
          <w:szCs w:val="16"/>
        </w:rPr>
        <w:t>Generally this would create a double-dipping (double payment) situation; however, the Commonwealth may override this and direct CSC resources to be used for Recurring Services when necessary to address a Surge (ie, Contingency)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6198D" w14:textId="77777777" w:rsidR="000155F3" w:rsidRDefault="000155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A34BFD" w14:paraId="4E731934" w14:textId="77777777" w:rsidTr="00020085">
      <w:tc>
        <w:tcPr>
          <w:tcW w:w="5000" w:type="pct"/>
          <w:gridSpan w:val="2"/>
        </w:tcPr>
        <w:p w14:paraId="266FC4A8" w14:textId="77777777" w:rsidR="000155F3" w:rsidRDefault="00081E29" w:rsidP="000155F3">
          <w:pPr>
            <w:pStyle w:val="ASDEFCONHeaderFooterClassification"/>
          </w:pPr>
          <w:r>
            <w:fldChar w:fldCharType="begin"/>
          </w:r>
          <w:r>
            <w:instrText xml:space="preserve"> DOCPROPERTY  Classification  \* MERGEFORMAT </w:instrText>
          </w:r>
          <w:r>
            <w:fldChar w:fldCharType="separate"/>
          </w:r>
          <w:r w:rsidR="000155F3">
            <w:t>OFFICIAL</w:t>
          </w:r>
          <w:r>
            <w:fldChar w:fldCharType="end"/>
          </w:r>
        </w:p>
        <w:p w14:paraId="28689043" w14:textId="77777777" w:rsidR="00A34BFD" w:rsidRDefault="00A34BFD" w:rsidP="00020085">
          <w:pPr>
            <w:pStyle w:val="ASDEFCONHeaderFooterCenter"/>
          </w:pPr>
        </w:p>
      </w:tc>
    </w:tr>
    <w:tr w:rsidR="00A34BFD" w14:paraId="65CA6780" w14:textId="77777777" w:rsidTr="00020085">
      <w:tc>
        <w:tcPr>
          <w:tcW w:w="2500" w:type="pct"/>
        </w:tcPr>
        <w:p w14:paraId="309AC8F1" w14:textId="0FFA21DA" w:rsidR="00A34BFD" w:rsidRDefault="00081E29" w:rsidP="00020085">
          <w:pPr>
            <w:pStyle w:val="ASDEFCONHeaderFooterLeft"/>
          </w:pPr>
          <w:r>
            <w:fldChar w:fldCharType="begin"/>
          </w:r>
          <w:r>
            <w:instrText xml:space="preserve"> DOCPROPERTY Header_Left </w:instrText>
          </w:r>
          <w:r>
            <w:fldChar w:fldCharType="separate"/>
          </w:r>
          <w:r w:rsidR="00737016">
            <w:t>ASDEFCON (Support)</w:t>
          </w:r>
          <w:r>
            <w:fldChar w:fldCharType="end"/>
          </w:r>
        </w:p>
      </w:tc>
      <w:tc>
        <w:tcPr>
          <w:tcW w:w="2500" w:type="pct"/>
        </w:tcPr>
        <w:p w14:paraId="3D1B925A" w14:textId="0D0B9381" w:rsidR="00A34BFD" w:rsidRDefault="00081E29" w:rsidP="00020085">
          <w:pPr>
            <w:pStyle w:val="ASDEFCONHeaderFooterRight"/>
          </w:pPr>
          <w:r>
            <w:fldChar w:fldCharType="begin"/>
          </w:r>
          <w:r>
            <w:instrText xml:space="preserve"> DOCPROPERTY Header_Right </w:instrText>
          </w:r>
          <w:r>
            <w:fldChar w:fldCharType="separate"/>
          </w:r>
          <w:r w:rsidR="00737016">
            <w:t xml:space="preserve">CSC Module </w:t>
          </w:r>
          <w:r>
            <w:fldChar w:fldCharType="end"/>
          </w:r>
        </w:p>
      </w:tc>
    </w:tr>
  </w:tbl>
  <w:p w14:paraId="20F18D6B" w14:textId="77777777" w:rsidR="00A34BFD" w:rsidRPr="00020085" w:rsidRDefault="00A34BFD" w:rsidP="000200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2FDE2" w14:textId="0F5D9A4F" w:rsidR="00A34BFD" w:rsidRPr="00020085" w:rsidRDefault="00081E29" w:rsidP="00020085">
    <w:pPr>
      <w:pStyle w:val="Header"/>
      <w:tabs>
        <w:tab w:val="clear" w:pos="8306"/>
        <w:tab w:val="right" w:pos="9639"/>
      </w:tabs>
      <w:jc w:val="left"/>
    </w:pPr>
    <w:r>
      <w:fldChar w:fldCharType="begin"/>
    </w:r>
    <w:r>
      <w:instrText xml:space="preserve"> DOCPROPERTY  Header_Left  \* MERGEFORMAT </w:instrText>
    </w:r>
    <w:r>
      <w:fldChar w:fldCharType="separate"/>
    </w:r>
    <w:r w:rsidR="00737016">
      <w:t>ASDEFCON (Support)</w:t>
    </w:r>
    <w:r>
      <w:fldChar w:fldCharType="end"/>
    </w:r>
    <w:r w:rsidR="00A34BFD">
      <w:t xml:space="preserve"> </w:t>
    </w:r>
    <w:r w:rsidR="00A34BFD">
      <w:tab/>
      <w:t xml:space="preserve"> </w:t>
    </w:r>
    <w:r w:rsidR="00A34BFD">
      <w:tab/>
    </w:r>
    <w:r>
      <w:fldChar w:fldCharType="begin"/>
    </w:r>
    <w:r>
      <w:instrText xml:space="preserve"> DOCPROPERTY  Header_Right  \* MERGEFORMAT </w:instrText>
    </w:r>
    <w:r>
      <w:fldChar w:fldCharType="separate"/>
    </w:r>
    <w:r w:rsidR="00737016">
      <w:t xml:space="preserve">CSC Module </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8C57BD"/>
    <w:multiLevelType w:val="multilevel"/>
    <w:tmpl w:val="C69618E8"/>
    <w:lvl w:ilvl="0">
      <w:numFmt w:val="none"/>
      <w:pStyle w:val="Definition"/>
      <w:suff w:val="nothing"/>
      <w:lvlText w:val=""/>
      <w:lvlJc w:val="left"/>
      <w:pPr>
        <w:ind w:left="964" w:firstLine="0"/>
      </w:pPr>
      <w:rPr>
        <w:rFonts w:ascii="Times New Roman" w:hAnsi="Times New Roman" w:hint="default"/>
        <w:b w:val="0"/>
        <w:i w:val="0"/>
        <w:caps w:val="0"/>
        <w:sz w:val="22"/>
        <w:szCs w:val="22"/>
        <w:u w:val="none"/>
      </w:rPr>
    </w:lvl>
    <w:lvl w:ilvl="1">
      <w:start w:val="1"/>
      <w:numFmt w:val="lowerLetter"/>
      <w:pStyle w:val="DefinitionNum2"/>
      <w:lvlText w:val="(%2)"/>
      <w:lvlJc w:val="left"/>
      <w:pPr>
        <w:tabs>
          <w:tab w:val="num" w:pos="1928"/>
        </w:tabs>
        <w:ind w:left="1928" w:hanging="964"/>
      </w:pPr>
      <w:rPr>
        <w:rFonts w:ascii="Times New Roman" w:hAnsi="Times New Roman" w:hint="default"/>
        <w:b w:val="0"/>
        <w:i w:val="0"/>
        <w:sz w:val="22"/>
        <w:szCs w:val="22"/>
        <w:u w:val="none"/>
      </w:rPr>
    </w:lvl>
    <w:lvl w:ilvl="2">
      <w:start w:val="1"/>
      <w:numFmt w:val="lowerRoman"/>
      <w:pStyle w:val="DefinitionNum3"/>
      <w:lvlText w:val="(%3)"/>
      <w:lvlJc w:val="left"/>
      <w:pPr>
        <w:tabs>
          <w:tab w:val="num" w:pos="2892"/>
        </w:tabs>
        <w:ind w:left="2892" w:hanging="964"/>
      </w:pPr>
      <w:rPr>
        <w:rFonts w:hint="default"/>
        <w:b w:val="0"/>
        <w:i w:val="0"/>
        <w:u w:val="none"/>
      </w:rPr>
    </w:lvl>
    <w:lvl w:ilvl="3">
      <w:start w:val="1"/>
      <w:numFmt w:val="upperLetter"/>
      <w:pStyle w:val="DefinitionNum4"/>
      <w:lvlText w:val="%4."/>
      <w:lvlJc w:val="left"/>
      <w:pPr>
        <w:tabs>
          <w:tab w:val="num" w:pos="3856"/>
        </w:tabs>
        <w:ind w:left="3856" w:hanging="964"/>
      </w:pPr>
      <w:rPr>
        <w:rFonts w:hint="default"/>
        <w:u w:val="none"/>
      </w:rPr>
    </w:lvl>
    <w:lvl w:ilvl="4">
      <w:start w:val="1"/>
      <w:numFmt w:val="none"/>
      <w:lvlText w:val="%5"/>
      <w:lvlJc w:val="left"/>
      <w:pPr>
        <w:tabs>
          <w:tab w:val="num" w:pos="3856"/>
        </w:tabs>
        <w:ind w:left="3856" w:hanging="964"/>
      </w:pPr>
      <w:rPr>
        <w:rFonts w:hint="default"/>
        <w:b w:val="0"/>
        <w:i w:val="0"/>
        <w:u w:val="none"/>
      </w:rPr>
    </w:lvl>
    <w:lvl w:ilvl="5">
      <w:start w:val="1"/>
      <w:numFmt w:val="none"/>
      <w:lvlText w:val="%6"/>
      <w:lvlJc w:val="left"/>
      <w:pPr>
        <w:tabs>
          <w:tab w:val="num" w:pos="4820"/>
        </w:tabs>
        <w:ind w:left="4820" w:hanging="964"/>
      </w:pPr>
      <w:rPr>
        <w:rFonts w:hint="default"/>
        <w:b w:val="0"/>
        <w:i w:val="0"/>
        <w:u w:val="none"/>
      </w:rPr>
    </w:lvl>
    <w:lvl w:ilvl="6">
      <w:start w:val="1"/>
      <w:numFmt w:val="none"/>
      <w:lvlText w:val="%7"/>
      <w:lvlJc w:val="left"/>
      <w:pPr>
        <w:tabs>
          <w:tab w:val="num" w:pos="5783"/>
        </w:tabs>
        <w:ind w:left="5783" w:hanging="963"/>
      </w:pPr>
      <w:rPr>
        <w:rFonts w:hint="default"/>
        <w:b w:val="0"/>
        <w:i w:val="0"/>
        <w:u w:val="none"/>
      </w:rPr>
    </w:lvl>
    <w:lvl w:ilvl="7">
      <w:start w:val="1"/>
      <w:numFmt w:val="none"/>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35693EC9"/>
    <w:multiLevelType w:val="multilevel"/>
    <w:tmpl w:val="CC4C3F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43BB12DC"/>
    <w:multiLevelType w:val="singleLevel"/>
    <w:tmpl w:val="4E6289E2"/>
    <w:lvl w:ilvl="0">
      <w:start w:val="1"/>
      <w:numFmt w:val="lowerRoman"/>
      <w:pStyle w:val="sspara"/>
      <w:lvlText w:val="(%1)"/>
      <w:lvlJc w:val="left"/>
      <w:pPr>
        <w:tabs>
          <w:tab w:val="num" w:pos="2160"/>
        </w:tabs>
        <w:ind w:left="2016" w:hanging="576"/>
      </w:pPr>
    </w:lvl>
  </w:abstractNum>
  <w:abstractNum w:abstractNumId="1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97244AA"/>
    <w:multiLevelType w:val="multilevel"/>
    <w:tmpl w:val="AD74D40A"/>
    <w:lvl w:ilvl="0">
      <w:start w:val="1"/>
      <w:numFmt w:val="decimal"/>
      <w:pStyle w:val="ExhibitHeading"/>
      <w:suff w:val="space"/>
      <w:lvlText w:val="Exhibit %1"/>
      <w:lvlJc w:val="left"/>
      <w:pPr>
        <w:ind w:left="0" w:firstLine="0"/>
      </w:pPr>
      <w:rPr>
        <w:rFonts w:ascii="Arial" w:hAnsi="Arial" w:hint="default"/>
        <w:b/>
        <w:i w:val="0"/>
        <w:sz w:val="24"/>
        <w:szCs w:val="24"/>
      </w:rPr>
    </w:lvl>
    <w:lvl w:ilvl="1">
      <w:start w:val="1"/>
      <w:numFmt w:val="decimal"/>
      <w:lvlText w:val="%1"/>
      <w:lvlJc w:val="left"/>
      <w:pPr>
        <w:tabs>
          <w:tab w:val="num" w:pos="792"/>
        </w:tabs>
        <w:ind w:left="792" w:hanging="432"/>
      </w:pPr>
      <w:rPr>
        <w:rFonts w:hint="default"/>
      </w:rPr>
    </w:lvl>
    <w:lvl w:ilvl="2">
      <w:start w:val="1"/>
      <w:numFmt w:val="decimal"/>
      <w:lvlText w:val="%1"/>
      <w:lvlJc w:val="left"/>
      <w:pPr>
        <w:tabs>
          <w:tab w:val="num" w:pos="1224"/>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
      <w:lvlJc w:val="left"/>
      <w:pPr>
        <w:tabs>
          <w:tab w:val="num" w:pos="2520"/>
        </w:tabs>
        <w:ind w:left="2232" w:hanging="792"/>
      </w:pPr>
      <w:rPr>
        <w:rFonts w:hint="default"/>
      </w:rPr>
    </w:lvl>
    <w:lvl w:ilvl="5">
      <w:start w:val="1"/>
      <w:numFmt w:val="decimal"/>
      <w:lvlText w:val="%1"/>
      <w:lvlJc w:val="left"/>
      <w:pPr>
        <w:tabs>
          <w:tab w:val="num" w:pos="2880"/>
        </w:tabs>
        <w:ind w:left="2736" w:hanging="936"/>
      </w:pPr>
      <w:rPr>
        <w:rFonts w:hint="default"/>
      </w:rPr>
    </w:lvl>
    <w:lvl w:ilvl="6">
      <w:start w:val="1"/>
      <w:numFmt w:val="decimal"/>
      <w:lvlText w:val="%1"/>
      <w:lvlJc w:val="left"/>
      <w:pPr>
        <w:tabs>
          <w:tab w:val="num" w:pos="3600"/>
        </w:tabs>
        <w:ind w:left="3240" w:hanging="1080"/>
      </w:pPr>
      <w:rPr>
        <w:rFonts w:hint="default"/>
      </w:rPr>
    </w:lvl>
    <w:lvl w:ilvl="7">
      <w:start w:val="1"/>
      <w:numFmt w:val="decimal"/>
      <w:lvlText w:val="%1"/>
      <w:lvlJc w:val="left"/>
      <w:pPr>
        <w:tabs>
          <w:tab w:val="num" w:pos="3960"/>
        </w:tabs>
        <w:ind w:left="3744" w:hanging="1224"/>
      </w:pPr>
      <w:rPr>
        <w:rFonts w:hint="default"/>
      </w:rPr>
    </w:lvl>
    <w:lvl w:ilvl="8">
      <w:start w:val="1"/>
      <w:numFmt w:val="decimal"/>
      <w:lvlText w:val="%1"/>
      <w:lvlJc w:val="left"/>
      <w:pPr>
        <w:tabs>
          <w:tab w:val="num" w:pos="4680"/>
        </w:tabs>
        <w:ind w:left="4320" w:hanging="1440"/>
      </w:pPr>
      <w:rPr>
        <w:rFonts w:hint="default"/>
      </w:rPr>
    </w:lvl>
  </w:abstractNum>
  <w:abstractNum w:abstractNumId="23" w15:restartNumberingAfterBreak="0">
    <w:nsid w:val="607B27FA"/>
    <w:multiLevelType w:val="multilevel"/>
    <w:tmpl w:val="5D088C10"/>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993352"/>
    <w:multiLevelType w:val="hybridMultilevel"/>
    <w:tmpl w:val="2F5C50BC"/>
    <w:lvl w:ilvl="0" w:tplc="ABD6A13E">
      <w:start w:val="1"/>
      <w:numFmt w:val="bullet"/>
      <w:lvlText w:val=""/>
      <w:lvlJc w:val="left"/>
      <w:pPr>
        <w:tabs>
          <w:tab w:val="num" w:pos="964"/>
        </w:tabs>
        <w:ind w:left="964" w:hanging="964"/>
      </w:pPr>
      <w:rPr>
        <w:rFonts w:ascii="Symbol" w:hAnsi="Symbol" w:hint="default"/>
      </w:rPr>
    </w:lvl>
    <w:lvl w:ilvl="1" w:tplc="5808A536">
      <w:start w:val="1"/>
      <w:numFmt w:val="upperLetter"/>
      <w:pStyle w:val="Recital"/>
      <w:lvlText w:val="%2."/>
      <w:lvlJc w:val="left"/>
      <w:pPr>
        <w:tabs>
          <w:tab w:val="num" w:pos="2044"/>
        </w:tabs>
        <w:ind w:left="2044" w:hanging="964"/>
      </w:pPr>
      <w:rPr>
        <w:rFonts w:hint="default"/>
      </w:rPr>
    </w:lvl>
    <w:lvl w:ilvl="2" w:tplc="93EE7808" w:tentative="1">
      <w:start w:val="1"/>
      <w:numFmt w:val="bullet"/>
      <w:lvlText w:val=""/>
      <w:lvlJc w:val="left"/>
      <w:pPr>
        <w:tabs>
          <w:tab w:val="num" w:pos="2160"/>
        </w:tabs>
        <w:ind w:left="2160" w:hanging="360"/>
      </w:pPr>
      <w:rPr>
        <w:rFonts w:ascii="Wingdings" w:hAnsi="Wingdings" w:hint="default"/>
      </w:rPr>
    </w:lvl>
    <w:lvl w:ilvl="3" w:tplc="54BE9542" w:tentative="1">
      <w:start w:val="1"/>
      <w:numFmt w:val="bullet"/>
      <w:lvlText w:val=""/>
      <w:lvlJc w:val="left"/>
      <w:pPr>
        <w:tabs>
          <w:tab w:val="num" w:pos="2880"/>
        </w:tabs>
        <w:ind w:left="2880" w:hanging="360"/>
      </w:pPr>
      <w:rPr>
        <w:rFonts w:ascii="Symbol" w:hAnsi="Symbol" w:hint="default"/>
      </w:rPr>
    </w:lvl>
    <w:lvl w:ilvl="4" w:tplc="82FED80C" w:tentative="1">
      <w:start w:val="1"/>
      <w:numFmt w:val="bullet"/>
      <w:lvlText w:val="o"/>
      <w:lvlJc w:val="left"/>
      <w:pPr>
        <w:tabs>
          <w:tab w:val="num" w:pos="3600"/>
        </w:tabs>
        <w:ind w:left="3600" w:hanging="360"/>
      </w:pPr>
      <w:rPr>
        <w:rFonts w:ascii="Courier New" w:hAnsi="Courier New" w:hint="default"/>
      </w:rPr>
    </w:lvl>
    <w:lvl w:ilvl="5" w:tplc="E24E62D0" w:tentative="1">
      <w:start w:val="1"/>
      <w:numFmt w:val="bullet"/>
      <w:lvlText w:val=""/>
      <w:lvlJc w:val="left"/>
      <w:pPr>
        <w:tabs>
          <w:tab w:val="num" w:pos="4320"/>
        </w:tabs>
        <w:ind w:left="4320" w:hanging="360"/>
      </w:pPr>
      <w:rPr>
        <w:rFonts w:ascii="Wingdings" w:hAnsi="Wingdings" w:hint="default"/>
      </w:rPr>
    </w:lvl>
    <w:lvl w:ilvl="6" w:tplc="32EE283E" w:tentative="1">
      <w:start w:val="1"/>
      <w:numFmt w:val="bullet"/>
      <w:lvlText w:val=""/>
      <w:lvlJc w:val="left"/>
      <w:pPr>
        <w:tabs>
          <w:tab w:val="num" w:pos="5040"/>
        </w:tabs>
        <w:ind w:left="5040" w:hanging="360"/>
      </w:pPr>
      <w:rPr>
        <w:rFonts w:ascii="Symbol" w:hAnsi="Symbol" w:hint="default"/>
      </w:rPr>
    </w:lvl>
    <w:lvl w:ilvl="7" w:tplc="2F50713A" w:tentative="1">
      <w:start w:val="1"/>
      <w:numFmt w:val="bullet"/>
      <w:lvlText w:val="o"/>
      <w:lvlJc w:val="left"/>
      <w:pPr>
        <w:tabs>
          <w:tab w:val="num" w:pos="5760"/>
        </w:tabs>
        <w:ind w:left="5760" w:hanging="360"/>
      </w:pPr>
      <w:rPr>
        <w:rFonts w:ascii="Courier New" w:hAnsi="Courier New" w:hint="default"/>
      </w:rPr>
    </w:lvl>
    <w:lvl w:ilvl="8" w:tplc="1BB4314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6232703"/>
    <w:multiLevelType w:val="multilevel"/>
    <w:tmpl w:val="4822C12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spara2"/>
      <w:lvlText w:val="%7."/>
      <w:lvlJc w:val="left"/>
      <w:pPr>
        <w:tabs>
          <w:tab w:val="num" w:pos="2268"/>
        </w:tabs>
        <w:ind w:left="2268" w:hanging="567"/>
      </w:pPr>
      <w:rPr>
        <w:rFonts w:ascii="Arial" w:hAnsi="Arial" w:hint="default"/>
        <w:b w:val="0"/>
        <w:i w:val="0"/>
        <w:sz w:val="20"/>
      </w:rPr>
    </w:lvl>
    <w:lvl w:ilvl="7">
      <w:start w:val="1"/>
      <w:numFmt w:val="decimal"/>
      <w:lvlText w:val="%1.%2.%4.%8"/>
      <w:lvlJc w:val="left"/>
      <w:pPr>
        <w:tabs>
          <w:tab w:val="num" w:pos="907"/>
        </w:tabs>
        <w:ind w:left="907" w:hanging="907"/>
      </w:pPr>
      <w:rPr>
        <w:rFonts w:hint="default"/>
      </w:rPr>
    </w:lvl>
    <w:lvl w:ilvl="8">
      <w:start w:val="1"/>
      <w:numFmt w:val="decimal"/>
      <w:lvlText w:val="%1.%2.%4.%8.%9"/>
      <w:lvlJc w:val="left"/>
      <w:pPr>
        <w:tabs>
          <w:tab w:val="num" w:pos="907"/>
        </w:tabs>
        <w:ind w:left="907" w:hanging="907"/>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8B5053C"/>
    <w:multiLevelType w:val="multilevel"/>
    <w:tmpl w:val="D60C3738"/>
    <w:lvl w:ilvl="0">
      <w:start w:val="1"/>
      <w:numFmt w:val="bullet"/>
      <w:pStyle w:val="ListBullet"/>
      <w:lvlText w:val=""/>
      <w:lvlJc w:val="left"/>
      <w:pPr>
        <w:tabs>
          <w:tab w:val="num" w:pos="964"/>
        </w:tabs>
        <w:ind w:left="964" w:hanging="964"/>
      </w:pPr>
      <w:rPr>
        <w:rFonts w:ascii="Symbol" w:hAnsi="Symbol" w:hint="default"/>
      </w:rPr>
    </w:lvl>
    <w:lvl w:ilvl="1">
      <w:start w:val="1"/>
      <w:numFmt w:val="bullet"/>
      <w:pStyle w:val="ListBullet2"/>
      <w:lvlText w:val=""/>
      <w:lvlJc w:val="left"/>
      <w:pPr>
        <w:tabs>
          <w:tab w:val="num" w:pos="1928"/>
        </w:tabs>
        <w:ind w:left="1928" w:hanging="964"/>
      </w:pPr>
      <w:rPr>
        <w:rFonts w:ascii="Symbol" w:hAnsi="Symbol" w:hint="default"/>
      </w:rPr>
    </w:lvl>
    <w:lvl w:ilvl="2">
      <w:start w:val="1"/>
      <w:numFmt w:val="bullet"/>
      <w:pStyle w:val="ListBullet3"/>
      <w:lvlText w:val=""/>
      <w:lvlJc w:val="left"/>
      <w:pPr>
        <w:tabs>
          <w:tab w:val="num" w:pos="2892"/>
        </w:tabs>
        <w:ind w:left="2892" w:hanging="964"/>
      </w:pPr>
      <w:rPr>
        <w:rFonts w:ascii="Symbol" w:hAnsi="Symbol" w:hint="default"/>
      </w:rPr>
    </w:lvl>
    <w:lvl w:ilvl="3">
      <w:start w:val="1"/>
      <w:numFmt w:val="bullet"/>
      <w:pStyle w:val="ListBullet4"/>
      <w:lvlText w:val=""/>
      <w:lvlJc w:val="left"/>
      <w:pPr>
        <w:tabs>
          <w:tab w:val="num" w:pos="3856"/>
        </w:tabs>
        <w:ind w:left="3856" w:hanging="964"/>
      </w:pPr>
      <w:rPr>
        <w:rFonts w:ascii="Symbol" w:hAnsi="Symbol" w:hint="default"/>
      </w:rPr>
    </w:lvl>
    <w:lvl w:ilvl="4">
      <w:start w:val="1"/>
      <w:numFmt w:val="bullet"/>
      <w:pStyle w:val="ListBullet5"/>
      <w:lvlText w:val=""/>
      <w:lvlJc w:val="left"/>
      <w:pPr>
        <w:tabs>
          <w:tab w:val="num" w:pos="4820"/>
        </w:tabs>
        <w:ind w:left="4820" w:hanging="964"/>
      </w:pPr>
      <w:rPr>
        <w:rFonts w:ascii="Symbol" w:hAnsi="Symbol"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2"/>
  </w:num>
  <w:num w:numId="3">
    <w:abstractNumId w:val="24"/>
  </w:num>
  <w:num w:numId="4">
    <w:abstractNumId w:val="33"/>
  </w:num>
  <w:num w:numId="5">
    <w:abstractNumId w:val="16"/>
  </w:num>
  <w:num w:numId="6">
    <w:abstractNumId w:val="4"/>
  </w:num>
  <w:num w:numId="7">
    <w:abstractNumId w:val="19"/>
  </w:num>
  <w:num w:numId="8">
    <w:abstractNumId w:val="20"/>
    <w:lvlOverride w:ilvl="0">
      <w:startOverride w:val="1"/>
    </w:lvlOverride>
  </w:num>
  <w:num w:numId="9">
    <w:abstractNumId w:val="26"/>
  </w:num>
  <w:num w:numId="10">
    <w:abstractNumId w:val="14"/>
  </w:num>
  <w:num w:numId="11">
    <w:abstractNumId w:val="23"/>
  </w:num>
  <w:num w:numId="12">
    <w:abstractNumId w:val="31"/>
  </w:num>
  <w:num w:numId="13">
    <w:abstractNumId w:val="25"/>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 w:numId="17">
    <w:abstractNumId w:val="28"/>
  </w:num>
  <w:num w:numId="18">
    <w:abstractNumId w:val="15"/>
  </w:num>
  <w:num w:numId="19">
    <w:abstractNumId w:val="32"/>
  </w:num>
  <w:num w:numId="20">
    <w:abstractNumId w:val="9"/>
  </w:num>
  <w:num w:numId="21">
    <w:abstractNumId w:val="12"/>
  </w:num>
  <w:num w:numId="22">
    <w:abstractNumId w:val="34"/>
  </w:num>
  <w:num w:numId="23">
    <w:abstractNumId w:val="6"/>
  </w:num>
  <w:num w:numId="24">
    <w:abstractNumId w:val="5"/>
  </w:num>
  <w:num w:numId="25">
    <w:abstractNumId w:val="1"/>
  </w:num>
  <w:num w:numId="26">
    <w:abstractNumId w:val="3"/>
  </w:num>
  <w:num w:numId="27">
    <w:abstractNumId w:val="11"/>
  </w:num>
  <w:num w:numId="28">
    <w:abstractNumId w:val="0"/>
  </w:num>
  <w:num w:numId="29">
    <w:abstractNumId w:val="17"/>
  </w:num>
  <w:num w:numId="30">
    <w:abstractNumId w:val="29"/>
  </w:num>
  <w:num w:numId="31">
    <w:abstractNumId w:val="27"/>
  </w:num>
  <w:num w:numId="32">
    <w:abstractNumId w:val="13"/>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drawingGridHorizontalSpacing w:val="110"/>
  <w:displayHorizontalDrawingGridEvery w:val="2"/>
  <w:displayVerticalDrawingGridEvery w:val="2"/>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AutoFooter" w:val="-1"/>
    <w:docVar w:name="CUFooterText" w:val="Legal\104891623.3"/>
  </w:docVars>
  <w:rsids>
    <w:rsidRoot w:val="00F90F8F"/>
    <w:rsid w:val="00000813"/>
    <w:rsid w:val="000024A6"/>
    <w:rsid w:val="0000254F"/>
    <w:rsid w:val="00003773"/>
    <w:rsid w:val="00006469"/>
    <w:rsid w:val="000155F3"/>
    <w:rsid w:val="00020085"/>
    <w:rsid w:val="00021CC8"/>
    <w:rsid w:val="000227EA"/>
    <w:rsid w:val="00023969"/>
    <w:rsid w:val="00037DB9"/>
    <w:rsid w:val="00040A1C"/>
    <w:rsid w:val="000426E8"/>
    <w:rsid w:val="00046830"/>
    <w:rsid w:val="000515CE"/>
    <w:rsid w:val="00053E6E"/>
    <w:rsid w:val="00061052"/>
    <w:rsid w:val="0006383A"/>
    <w:rsid w:val="00066EDD"/>
    <w:rsid w:val="000672DD"/>
    <w:rsid w:val="00071D2B"/>
    <w:rsid w:val="0007508E"/>
    <w:rsid w:val="00081E29"/>
    <w:rsid w:val="00092B33"/>
    <w:rsid w:val="00096F5F"/>
    <w:rsid w:val="000B40C8"/>
    <w:rsid w:val="000B4A84"/>
    <w:rsid w:val="000B62CF"/>
    <w:rsid w:val="000C2616"/>
    <w:rsid w:val="000C348B"/>
    <w:rsid w:val="000C53CC"/>
    <w:rsid w:val="000D2699"/>
    <w:rsid w:val="000E37DD"/>
    <w:rsid w:val="000F5F59"/>
    <w:rsid w:val="000F6EE1"/>
    <w:rsid w:val="00106F83"/>
    <w:rsid w:val="0011371B"/>
    <w:rsid w:val="001239B4"/>
    <w:rsid w:val="0012418C"/>
    <w:rsid w:val="001245DE"/>
    <w:rsid w:val="0012664F"/>
    <w:rsid w:val="001401A5"/>
    <w:rsid w:val="00146189"/>
    <w:rsid w:val="001465C1"/>
    <w:rsid w:val="00163A71"/>
    <w:rsid w:val="001660C5"/>
    <w:rsid w:val="00172ED6"/>
    <w:rsid w:val="00173646"/>
    <w:rsid w:val="00174FD1"/>
    <w:rsid w:val="00180617"/>
    <w:rsid w:val="00181717"/>
    <w:rsid w:val="00184F35"/>
    <w:rsid w:val="0019174D"/>
    <w:rsid w:val="001923D0"/>
    <w:rsid w:val="00194C8B"/>
    <w:rsid w:val="00196A1E"/>
    <w:rsid w:val="001A12E5"/>
    <w:rsid w:val="001A334D"/>
    <w:rsid w:val="001A47D9"/>
    <w:rsid w:val="001B1418"/>
    <w:rsid w:val="001B3AAC"/>
    <w:rsid w:val="001C4851"/>
    <w:rsid w:val="001D0471"/>
    <w:rsid w:val="001E25A9"/>
    <w:rsid w:val="001E44BF"/>
    <w:rsid w:val="001F0478"/>
    <w:rsid w:val="001F3788"/>
    <w:rsid w:val="001F49D9"/>
    <w:rsid w:val="001F6686"/>
    <w:rsid w:val="00200A70"/>
    <w:rsid w:val="00202F4D"/>
    <w:rsid w:val="00205D76"/>
    <w:rsid w:val="00211EE3"/>
    <w:rsid w:val="002146E7"/>
    <w:rsid w:val="00214D79"/>
    <w:rsid w:val="00220A96"/>
    <w:rsid w:val="00220F47"/>
    <w:rsid w:val="00224840"/>
    <w:rsid w:val="002265EF"/>
    <w:rsid w:val="00230734"/>
    <w:rsid w:val="0023231C"/>
    <w:rsid w:val="00232498"/>
    <w:rsid w:val="00234803"/>
    <w:rsid w:val="00234CF6"/>
    <w:rsid w:val="002444E2"/>
    <w:rsid w:val="00251D41"/>
    <w:rsid w:val="00261BC1"/>
    <w:rsid w:val="00262824"/>
    <w:rsid w:val="002637CC"/>
    <w:rsid w:val="00267D90"/>
    <w:rsid w:val="00275F8A"/>
    <w:rsid w:val="00277033"/>
    <w:rsid w:val="00280F51"/>
    <w:rsid w:val="00286EDD"/>
    <w:rsid w:val="00294D0E"/>
    <w:rsid w:val="00295C0E"/>
    <w:rsid w:val="00296D16"/>
    <w:rsid w:val="002A262E"/>
    <w:rsid w:val="002B5953"/>
    <w:rsid w:val="002B68B7"/>
    <w:rsid w:val="002B7875"/>
    <w:rsid w:val="002C2995"/>
    <w:rsid w:val="002C42AA"/>
    <w:rsid w:val="002D2130"/>
    <w:rsid w:val="002D4F72"/>
    <w:rsid w:val="002D6DCF"/>
    <w:rsid w:val="002E24EB"/>
    <w:rsid w:val="002E25CD"/>
    <w:rsid w:val="002E26F2"/>
    <w:rsid w:val="002E42D0"/>
    <w:rsid w:val="002F73D4"/>
    <w:rsid w:val="00303303"/>
    <w:rsid w:val="0030759F"/>
    <w:rsid w:val="00310CF0"/>
    <w:rsid w:val="00311B71"/>
    <w:rsid w:val="00316978"/>
    <w:rsid w:val="003207E1"/>
    <w:rsid w:val="003338A3"/>
    <w:rsid w:val="00334E07"/>
    <w:rsid w:val="00340354"/>
    <w:rsid w:val="00347CD3"/>
    <w:rsid w:val="00356B07"/>
    <w:rsid w:val="003576BB"/>
    <w:rsid w:val="003654A8"/>
    <w:rsid w:val="00375D13"/>
    <w:rsid w:val="00376704"/>
    <w:rsid w:val="00383DED"/>
    <w:rsid w:val="003942F4"/>
    <w:rsid w:val="003A19D3"/>
    <w:rsid w:val="003B1A7F"/>
    <w:rsid w:val="003B2AE1"/>
    <w:rsid w:val="003C5C3B"/>
    <w:rsid w:val="003D2736"/>
    <w:rsid w:val="003D3CEA"/>
    <w:rsid w:val="003E1E63"/>
    <w:rsid w:val="003E40C6"/>
    <w:rsid w:val="003F12E9"/>
    <w:rsid w:val="003F378E"/>
    <w:rsid w:val="003F3D22"/>
    <w:rsid w:val="00401883"/>
    <w:rsid w:val="00405185"/>
    <w:rsid w:val="00415914"/>
    <w:rsid w:val="00415DF4"/>
    <w:rsid w:val="00440615"/>
    <w:rsid w:val="004504CB"/>
    <w:rsid w:val="0045298A"/>
    <w:rsid w:val="00457F3C"/>
    <w:rsid w:val="00462595"/>
    <w:rsid w:val="00483C9D"/>
    <w:rsid w:val="00485BC4"/>
    <w:rsid w:val="004866A5"/>
    <w:rsid w:val="004909B1"/>
    <w:rsid w:val="0049454C"/>
    <w:rsid w:val="004A2B68"/>
    <w:rsid w:val="004B681D"/>
    <w:rsid w:val="004B7710"/>
    <w:rsid w:val="004C22ED"/>
    <w:rsid w:val="004D290B"/>
    <w:rsid w:val="004D3F10"/>
    <w:rsid w:val="004D4113"/>
    <w:rsid w:val="004D5D79"/>
    <w:rsid w:val="004D7E0E"/>
    <w:rsid w:val="004F665D"/>
    <w:rsid w:val="00500D71"/>
    <w:rsid w:val="00501633"/>
    <w:rsid w:val="0050276F"/>
    <w:rsid w:val="0050491C"/>
    <w:rsid w:val="0050575B"/>
    <w:rsid w:val="00505D9A"/>
    <w:rsid w:val="00534D8A"/>
    <w:rsid w:val="00535E5B"/>
    <w:rsid w:val="00547AAE"/>
    <w:rsid w:val="0055506C"/>
    <w:rsid w:val="00562D11"/>
    <w:rsid w:val="005660FE"/>
    <w:rsid w:val="00573257"/>
    <w:rsid w:val="00573403"/>
    <w:rsid w:val="00583DDF"/>
    <w:rsid w:val="00586626"/>
    <w:rsid w:val="0059067E"/>
    <w:rsid w:val="00597EEF"/>
    <w:rsid w:val="005A03CB"/>
    <w:rsid w:val="005A7E00"/>
    <w:rsid w:val="005B2F6A"/>
    <w:rsid w:val="005C442E"/>
    <w:rsid w:val="005F0130"/>
    <w:rsid w:val="005F2D04"/>
    <w:rsid w:val="00611A61"/>
    <w:rsid w:val="00613733"/>
    <w:rsid w:val="0062538A"/>
    <w:rsid w:val="006266FD"/>
    <w:rsid w:val="00632E56"/>
    <w:rsid w:val="00635997"/>
    <w:rsid w:val="00635DBA"/>
    <w:rsid w:val="00643716"/>
    <w:rsid w:val="0065042E"/>
    <w:rsid w:val="006530AD"/>
    <w:rsid w:val="00654579"/>
    <w:rsid w:val="006546FC"/>
    <w:rsid w:val="006575F6"/>
    <w:rsid w:val="00685B6B"/>
    <w:rsid w:val="00685F93"/>
    <w:rsid w:val="006904CE"/>
    <w:rsid w:val="00693E7B"/>
    <w:rsid w:val="006A77B7"/>
    <w:rsid w:val="006B61A8"/>
    <w:rsid w:val="006B7A2C"/>
    <w:rsid w:val="006C2B01"/>
    <w:rsid w:val="006D7CCA"/>
    <w:rsid w:val="006E4FBF"/>
    <w:rsid w:val="006F61EA"/>
    <w:rsid w:val="006F62E3"/>
    <w:rsid w:val="007056A6"/>
    <w:rsid w:val="007066DD"/>
    <w:rsid w:val="00712B86"/>
    <w:rsid w:val="00720BF3"/>
    <w:rsid w:val="007268AB"/>
    <w:rsid w:val="00727BA5"/>
    <w:rsid w:val="00737016"/>
    <w:rsid w:val="007412F3"/>
    <w:rsid w:val="007425E3"/>
    <w:rsid w:val="00745B7D"/>
    <w:rsid w:val="007462F1"/>
    <w:rsid w:val="0074770A"/>
    <w:rsid w:val="00754BC8"/>
    <w:rsid w:val="00760682"/>
    <w:rsid w:val="00760B59"/>
    <w:rsid w:val="007620F3"/>
    <w:rsid w:val="00766575"/>
    <w:rsid w:val="007736EE"/>
    <w:rsid w:val="00782267"/>
    <w:rsid w:val="0078356E"/>
    <w:rsid w:val="007836DA"/>
    <w:rsid w:val="0078573E"/>
    <w:rsid w:val="007916AF"/>
    <w:rsid w:val="00794ECC"/>
    <w:rsid w:val="0079763D"/>
    <w:rsid w:val="007A1E07"/>
    <w:rsid w:val="007A2B36"/>
    <w:rsid w:val="007B0360"/>
    <w:rsid w:val="007C425D"/>
    <w:rsid w:val="007C48BA"/>
    <w:rsid w:val="007C5C65"/>
    <w:rsid w:val="007D18D6"/>
    <w:rsid w:val="007F329C"/>
    <w:rsid w:val="007F5A32"/>
    <w:rsid w:val="007F6AFD"/>
    <w:rsid w:val="00800585"/>
    <w:rsid w:val="00801902"/>
    <w:rsid w:val="00802C4B"/>
    <w:rsid w:val="00805F9A"/>
    <w:rsid w:val="00814B80"/>
    <w:rsid w:val="00825415"/>
    <w:rsid w:val="0083152A"/>
    <w:rsid w:val="0084370E"/>
    <w:rsid w:val="00856ED2"/>
    <w:rsid w:val="008639B8"/>
    <w:rsid w:val="008639EF"/>
    <w:rsid w:val="00886898"/>
    <w:rsid w:val="00896339"/>
    <w:rsid w:val="008A103A"/>
    <w:rsid w:val="008A4BE3"/>
    <w:rsid w:val="008A51DD"/>
    <w:rsid w:val="008B389F"/>
    <w:rsid w:val="008B38A1"/>
    <w:rsid w:val="008B6BC3"/>
    <w:rsid w:val="008C1852"/>
    <w:rsid w:val="008C2AB3"/>
    <w:rsid w:val="008C6A2D"/>
    <w:rsid w:val="008E6FD0"/>
    <w:rsid w:val="008E769F"/>
    <w:rsid w:val="008F375E"/>
    <w:rsid w:val="008F7D2F"/>
    <w:rsid w:val="008F7DAB"/>
    <w:rsid w:val="00902F44"/>
    <w:rsid w:val="009042EA"/>
    <w:rsid w:val="009123DB"/>
    <w:rsid w:val="0093113F"/>
    <w:rsid w:val="009335EF"/>
    <w:rsid w:val="00950AC2"/>
    <w:rsid w:val="00961F1E"/>
    <w:rsid w:val="009A071E"/>
    <w:rsid w:val="009A4DB6"/>
    <w:rsid w:val="009B19F5"/>
    <w:rsid w:val="009B37F2"/>
    <w:rsid w:val="009C10B3"/>
    <w:rsid w:val="009C15E2"/>
    <w:rsid w:val="009C5327"/>
    <w:rsid w:val="009C702E"/>
    <w:rsid w:val="009D01FB"/>
    <w:rsid w:val="009D5ECA"/>
    <w:rsid w:val="009E0A52"/>
    <w:rsid w:val="009E120C"/>
    <w:rsid w:val="009E66CC"/>
    <w:rsid w:val="009F2A79"/>
    <w:rsid w:val="00A00686"/>
    <w:rsid w:val="00A0477F"/>
    <w:rsid w:val="00A05BEB"/>
    <w:rsid w:val="00A07A2C"/>
    <w:rsid w:val="00A12082"/>
    <w:rsid w:val="00A12846"/>
    <w:rsid w:val="00A13BDC"/>
    <w:rsid w:val="00A16C95"/>
    <w:rsid w:val="00A22924"/>
    <w:rsid w:val="00A255F0"/>
    <w:rsid w:val="00A34BFD"/>
    <w:rsid w:val="00A36954"/>
    <w:rsid w:val="00A44C35"/>
    <w:rsid w:val="00A4675E"/>
    <w:rsid w:val="00A54398"/>
    <w:rsid w:val="00A572A7"/>
    <w:rsid w:val="00A60DCE"/>
    <w:rsid w:val="00A641F2"/>
    <w:rsid w:val="00A64922"/>
    <w:rsid w:val="00A64B20"/>
    <w:rsid w:val="00A71983"/>
    <w:rsid w:val="00A80A8C"/>
    <w:rsid w:val="00A80D85"/>
    <w:rsid w:val="00A94C7A"/>
    <w:rsid w:val="00AB0975"/>
    <w:rsid w:val="00AB3026"/>
    <w:rsid w:val="00AC40E4"/>
    <w:rsid w:val="00AE5C42"/>
    <w:rsid w:val="00AF291C"/>
    <w:rsid w:val="00B020F9"/>
    <w:rsid w:val="00B111F8"/>
    <w:rsid w:val="00B114A5"/>
    <w:rsid w:val="00B14924"/>
    <w:rsid w:val="00B21083"/>
    <w:rsid w:val="00B22B63"/>
    <w:rsid w:val="00B3153F"/>
    <w:rsid w:val="00B377CF"/>
    <w:rsid w:val="00B377D5"/>
    <w:rsid w:val="00B4777B"/>
    <w:rsid w:val="00B5565C"/>
    <w:rsid w:val="00B67AE9"/>
    <w:rsid w:val="00B70B0C"/>
    <w:rsid w:val="00B747C9"/>
    <w:rsid w:val="00B75C6A"/>
    <w:rsid w:val="00B81F60"/>
    <w:rsid w:val="00BA1BCC"/>
    <w:rsid w:val="00BB2364"/>
    <w:rsid w:val="00BB2811"/>
    <w:rsid w:val="00BB3DDA"/>
    <w:rsid w:val="00BB4E6B"/>
    <w:rsid w:val="00BB7249"/>
    <w:rsid w:val="00BB7CD2"/>
    <w:rsid w:val="00BC0C7D"/>
    <w:rsid w:val="00BC7EF9"/>
    <w:rsid w:val="00BD0149"/>
    <w:rsid w:val="00BD6436"/>
    <w:rsid w:val="00BE1C13"/>
    <w:rsid w:val="00BE417D"/>
    <w:rsid w:val="00BE7D77"/>
    <w:rsid w:val="00BF0A7D"/>
    <w:rsid w:val="00BF0EE0"/>
    <w:rsid w:val="00BF2BD2"/>
    <w:rsid w:val="00BF611B"/>
    <w:rsid w:val="00C064BD"/>
    <w:rsid w:val="00C1185E"/>
    <w:rsid w:val="00C150DB"/>
    <w:rsid w:val="00C16595"/>
    <w:rsid w:val="00C16803"/>
    <w:rsid w:val="00C16E3E"/>
    <w:rsid w:val="00C20267"/>
    <w:rsid w:val="00C2296B"/>
    <w:rsid w:val="00C27DB5"/>
    <w:rsid w:val="00C32878"/>
    <w:rsid w:val="00C33F44"/>
    <w:rsid w:val="00C351BC"/>
    <w:rsid w:val="00C35889"/>
    <w:rsid w:val="00C36033"/>
    <w:rsid w:val="00C37386"/>
    <w:rsid w:val="00C426F8"/>
    <w:rsid w:val="00C42715"/>
    <w:rsid w:val="00C44624"/>
    <w:rsid w:val="00C5028E"/>
    <w:rsid w:val="00C66A8F"/>
    <w:rsid w:val="00C67679"/>
    <w:rsid w:val="00C77576"/>
    <w:rsid w:val="00C8765B"/>
    <w:rsid w:val="00C93050"/>
    <w:rsid w:val="00C959BE"/>
    <w:rsid w:val="00C9718E"/>
    <w:rsid w:val="00CA0BCA"/>
    <w:rsid w:val="00CA386A"/>
    <w:rsid w:val="00CB3F50"/>
    <w:rsid w:val="00CC4148"/>
    <w:rsid w:val="00CC519A"/>
    <w:rsid w:val="00CD51DE"/>
    <w:rsid w:val="00CE3663"/>
    <w:rsid w:val="00CE52F9"/>
    <w:rsid w:val="00CF21F1"/>
    <w:rsid w:val="00CF3255"/>
    <w:rsid w:val="00CF5922"/>
    <w:rsid w:val="00CF6121"/>
    <w:rsid w:val="00D00AE0"/>
    <w:rsid w:val="00D160C5"/>
    <w:rsid w:val="00D17548"/>
    <w:rsid w:val="00D1782A"/>
    <w:rsid w:val="00D21922"/>
    <w:rsid w:val="00D25721"/>
    <w:rsid w:val="00D25FD8"/>
    <w:rsid w:val="00D43F03"/>
    <w:rsid w:val="00D56094"/>
    <w:rsid w:val="00D56B52"/>
    <w:rsid w:val="00D64917"/>
    <w:rsid w:val="00D66434"/>
    <w:rsid w:val="00D71BCB"/>
    <w:rsid w:val="00D77C5C"/>
    <w:rsid w:val="00D829A4"/>
    <w:rsid w:val="00D86C69"/>
    <w:rsid w:val="00D87CEB"/>
    <w:rsid w:val="00D91635"/>
    <w:rsid w:val="00D93637"/>
    <w:rsid w:val="00D9542A"/>
    <w:rsid w:val="00D967ED"/>
    <w:rsid w:val="00DA4A5D"/>
    <w:rsid w:val="00DB2AF3"/>
    <w:rsid w:val="00DC25EA"/>
    <w:rsid w:val="00DC7002"/>
    <w:rsid w:val="00DE1D11"/>
    <w:rsid w:val="00DE3CA4"/>
    <w:rsid w:val="00DE4B74"/>
    <w:rsid w:val="00DE578C"/>
    <w:rsid w:val="00DF34FB"/>
    <w:rsid w:val="00DF5027"/>
    <w:rsid w:val="00E012C2"/>
    <w:rsid w:val="00E04B91"/>
    <w:rsid w:val="00E05AD1"/>
    <w:rsid w:val="00E063A6"/>
    <w:rsid w:val="00E2384F"/>
    <w:rsid w:val="00E37747"/>
    <w:rsid w:val="00E37FDB"/>
    <w:rsid w:val="00E50D20"/>
    <w:rsid w:val="00E600D1"/>
    <w:rsid w:val="00E633A6"/>
    <w:rsid w:val="00E70CEB"/>
    <w:rsid w:val="00E71A94"/>
    <w:rsid w:val="00E8080B"/>
    <w:rsid w:val="00E843E2"/>
    <w:rsid w:val="00E878D8"/>
    <w:rsid w:val="00E91A33"/>
    <w:rsid w:val="00EA0025"/>
    <w:rsid w:val="00EA18BA"/>
    <w:rsid w:val="00EA2805"/>
    <w:rsid w:val="00EA3FA5"/>
    <w:rsid w:val="00EA4D0E"/>
    <w:rsid w:val="00EA6028"/>
    <w:rsid w:val="00EB247C"/>
    <w:rsid w:val="00EB24FF"/>
    <w:rsid w:val="00EB79CB"/>
    <w:rsid w:val="00EC0126"/>
    <w:rsid w:val="00EC623A"/>
    <w:rsid w:val="00EF00A3"/>
    <w:rsid w:val="00EF13EA"/>
    <w:rsid w:val="00F0207C"/>
    <w:rsid w:val="00F07C6B"/>
    <w:rsid w:val="00F12530"/>
    <w:rsid w:val="00F164EA"/>
    <w:rsid w:val="00F245A9"/>
    <w:rsid w:val="00F24877"/>
    <w:rsid w:val="00F248AE"/>
    <w:rsid w:val="00F3450C"/>
    <w:rsid w:val="00F3523F"/>
    <w:rsid w:val="00F42B25"/>
    <w:rsid w:val="00F531D7"/>
    <w:rsid w:val="00F53EEE"/>
    <w:rsid w:val="00F567C3"/>
    <w:rsid w:val="00F575E8"/>
    <w:rsid w:val="00F61210"/>
    <w:rsid w:val="00F63482"/>
    <w:rsid w:val="00F6415E"/>
    <w:rsid w:val="00F6580E"/>
    <w:rsid w:val="00F65BAD"/>
    <w:rsid w:val="00F666E8"/>
    <w:rsid w:val="00F7011C"/>
    <w:rsid w:val="00F726E2"/>
    <w:rsid w:val="00F742B0"/>
    <w:rsid w:val="00F90F8F"/>
    <w:rsid w:val="00F91B56"/>
    <w:rsid w:val="00F949D2"/>
    <w:rsid w:val="00F95BE7"/>
    <w:rsid w:val="00FB061E"/>
    <w:rsid w:val="00FB0F69"/>
    <w:rsid w:val="00FB182F"/>
    <w:rsid w:val="00FB7142"/>
    <w:rsid w:val="00FC2C80"/>
    <w:rsid w:val="00FC4EA7"/>
    <w:rsid w:val="00FD02CC"/>
    <w:rsid w:val="00FD2F2B"/>
    <w:rsid w:val="00FD49E5"/>
    <w:rsid w:val="00FE42CA"/>
    <w:rsid w:val="00FE7603"/>
    <w:rsid w:val="00FF2661"/>
    <w:rsid w:val="00FF6F45"/>
    <w:rsid w:val="00FF76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05B1654B"/>
  <w15:docId w15:val="{B9977C4A-CD63-4DAE-A64A-7BB685256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E29"/>
    <w:pPr>
      <w:spacing w:after="120"/>
      <w:jc w:val="both"/>
    </w:pPr>
    <w:rPr>
      <w:rFonts w:ascii="Arial" w:hAnsi="Arial"/>
      <w:szCs w:val="24"/>
    </w:rPr>
  </w:style>
  <w:style w:type="paragraph" w:styleId="Heading1">
    <w:name w:val="heading 1"/>
    <w:basedOn w:val="Normal"/>
    <w:next w:val="Normal"/>
    <w:link w:val="Heading1Char"/>
    <w:qFormat/>
    <w:rsid w:val="00081E29"/>
    <w:pPr>
      <w:keepNext/>
      <w:numPr>
        <w:numId w:val="4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081E29"/>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D86C69"/>
    <w:pPr>
      <w:keepNext/>
      <w:keepLines/>
      <w:numPr>
        <w:ilvl w:val="2"/>
        <w:numId w:val="7"/>
      </w:numPr>
      <w:spacing w:before="200" w:after="0"/>
      <w:outlineLvl w:val="2"/>
    </w:pPr>
    <w:rPr>
      <w:rFonts w:ascii="Times New Roman" w:hAnsi="Times New Roman"/>
      <w:b/>
      <w:bCs/>
    </w:rPr>
  </w:style>
  <w:style w:type="paragraph" w:styleId="Heading4">
    <w:name w:val="heading 4"/>
    <w:basedOn w:val="Normal"/>
    <w:next w:val="Normal"/>
    <w:link w:val="Heading4Char1"/>
    <w:uiPriority w:val="9"/>
    <w:qFormat/>
    <w:rsid w:val="00D86C69"/>
    <w:pPr>
      <w:keepNext/>
      <w:keepLines/>
      <w:numPr>
        <w:ilvl w:val="3"/>
        <w:numId w:val="7"/>
      </w:numPr>
      <w:spacing w:before="200" w:after="0"/>
      <w:outlineLvl w:val="3"/>
    </w:pPr>
    <w:rPr>
      <w:rFonts w:ascii="Times New Roman" w:hAnsi="Times New Roman"/>
      <w:b/>
      <w:bCs/>
      <w:iCs/>
    </w:rPr>
  </w:style>
  <w:style w:type="paragraph" w:styleId="Heading5">
    <w:name w:val="heading 5"/>
    <w:basedOn w:val="Normal"/>
    <w:next w:val="Normal"/>
    <w:link w:val="Heading5Char1"/>
    <w:qFormat/>
    <w:rsid w:val="00D86C69"/>
    <w:pPr>
      <w:numPr>
        <w:ilvl w:val="4"/>
        <w:numId w:val="7"/>
      </w:numPr>
      <w:spacing w:before="240" w:after="60"/>
      <w:outlineLvl w:val="4"/>
    </w:pPr>
    <w:rPr>
      <w:b/>
      <w:bCs/>
      <w:iCs/>
      <w:szCs w:val="26"/>
    </w:rPr>
  </w:style>
  <w:style w:type="paragraph" w:styleId="Heading6">
    <w:name w:val="heading 6"/>
    <w:basedOn w:val="Normal"/>
    <w:next w:val="Normal"/>
    <w:link w:val="Heading6Char1"/>
    <w:qFormat/>
    <w:rsid w:val="00D86C69"/>
    <w:pPr>
      <w:numPr>
        <w:ilvl w:val="5"/>
        <w:numId w:val="7"/>
      </w:numPr>
      <w:spacing w:before="240" w:after="60"/>
      <w:outlineLvl w:val="5"/>
    </w:pPr>
    <w:rPr>
      <w:rFonts w:ascii="Times New Roman" w:hAnsi="Times New Roman"/>
      <w:b/>
      <w:bCs/>
      <w:sz w:val="22"/>
    </w:rPr>
  </w:style>
  <w:style w:type="paragraph" w:styleId="Heading7">
    <w:name w:val="heading 7"/>
    <w:aliases w:val="Spare3"/>
    <w:basedOn w:val="Normal"/>
    <w:next w:val="Normal"/>
    <w:link w:val="Heading7Char1"/>
    <w:qFormat/>
    <w:rsid w:val="00D86C69"/>
    <w:pPr>
      <w:numPr>
        <w:ilvl w:val="6"/>
        <w:numId w:val="7"/>
      </w:numPr>
      <w:spacing w:before="240" w:after="60"/>
      <w:outlineLvl w:val="6"/>
    </w:pPr>
    <w:rPr>
      <w:rFonts w:ascii="Times New Roman" w:hAnsi="Times New Roman"/>
      <w:sz w:val="24"/>
    </w:rPr>
  </w:style>
  <w:style w:type="paragraph" w:styleId="Heading8">
    <w:name w:val="heading 8"/>
    <w:aliases w:val="Spare4,Dot-1,GrpHead,para(1)"/>
    <w:basedOn w:val="Normal"/>
    <w:next w:val="Normal"/>
    <w:link w:val="Heading8Char1"/>
    <w:qFormat/>
    <w:rsid w:val="00D86C69"/>
    <w:pPr>
      <w:numPr>
        <w:ilvl w:val="7"/>
        <w:numId w:val="7"/>
      </w:numPr>
      <w:spacing w:before="240" w:after="60"/>
      <w:outlineLvl w:val="7"/>
    </w:pPr>
    <w:rPr>
      <w:rFonts w:ascii="Times New Roman" w:hAnsi="Times New Roman"/>
      <w:i/>
      <w:iCs/>
      <w:sz w:val="24"/>
    </w:rPr>
  </w:style>
  <w:style w:type="paragraph" w:styleId="Heading9">
    <w:name w:val="heading 9"/>
    <w:aliases w:val="Spare5,Dot-2,ParHead,para(a)"/>
    <w:basedOn w:val="Normal"/>
    <w:next w:val="Normal"/>
    <w:link w:val="Heading9Char1"/>
    <w:qFormat/>
    <w:rsid w:val="00D86C69"/>
    <w:pPr>
      <w:numPr>
        <w:ilvl w:val="8"/>
        <w:numId w:val="7"/>
      </w:numPr>
      <w:spacing w:before="240" w:after="60"/>
      <w:outlineLvl w:val="8"/>
    </w:pPr>
    <w:rPr>
      <w:rFonts w:cs="Arial"/>
      <w:sz w:val="22"/>
    </w:rPr>
  </w:style>
  <w:style w:type="character" w:default="1" w:styleId="DefaultParagraphFont">
    <w:name w:val="Default Paragraph Font"/>
    <w:uiPriority w:val="1"/>
    <w:semiHidden/>
    <w:unhideWhenUsed/>
    <w:rsid w:val="00081E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81E29"/>
  </w:style>
  <w:style w:type="paragraph" w:customStyle="1" w:styleId="IndentParaLevel1">
    <w:name w:val="IndentParaLevel1"/>
    <w:basedOn w:val="Normal"/>
    <w:pPr>
      <w:ind w:left="964"/>
    </w:pPr>
  </w:style>
  <w:style w:type="paragraph" w:customStyle="1" w:styleId="Commentary">
    <w:name w:val="Commentary"/>
    <w:basedOn w:val="IndentParaLevel1"/>
    <w:pPr>
      <w:keepNext/>
      <w:pBdr>
        <w:top w:val="single" w:sz="4" w:space="1" w:color="auto"/>
        <w:left w:val="single" w:sz="4" w:space="4" w:color="auto"/>
        <w:bottom w:val="single" w:sz="4" w:space="1" w:color="auto"/>
        <w:right w:val="single" w:sz="4" w:space="4" w:color="auto"/>
      </w:pBdr>
      <w:shd w:val="clear" w:color="auto" w:fill="E6E6E6"/>
      <w:ind w:left="0"/>
    </w:pPr>
    <w:rPr>
      <w:bCs/>
      <w:color w:val="800080"/>
    </w:rPr>
  </w:style>
  <w:style w:type="paragraph" w:customStyle="1" w:styleId="CUAddress">
    <w:name w:val="CU_Address"/>
    <w:basedOn w:val="Normal"/>
    <w:semiHidden/>
    <w:pPr>
      <w:spacing w:after="0"/>
    </w:pPr>
    <w:rPr>
      <w:sz w:val="18"/>
    </w:rPr>
  </w:style>
  <w:style w:type="paragraph" w:customStyle="1" w:styleId="CULtrAddress">
    <w:name w:val="CU_LtrAddress"/>
    <w:basedOn w:val="Normal"/>
    <w:semiHidden/>
    <w:pPr>
      <w:widowControl w:val="0"/>
      <w:spacing w:after="100"/>
    </w:pPr>
    <w:rPr>
      <w:sz w:val="18"/>
      <w:lang w:bidi="he-IL"/>
    </w:rPr>
  </w:style>
  <w:style w:type="paragraph" w:customStyle="1" w:styleId="Definition">
    <w:name w:val="Definition"/>
    <w:basedOn w:val="Normal"/>
    <w:pPr>
      <w:numPr>
        <w:numId w:val="1"/>
      </w:numPr>
    </w:pPr>
    <w:rPr>
      <w:szCs w:val="22"/>
    </w:rPr>
  </w:style>
  <w:style w:type="paragraph" w:customStyle="1" w:styleId="DefinitionNum2">
    <w:name w:val="DefinitionNum2"/>
    <w:basedOn w:val="Normal"/>
    <w:pPr>
      <w:numPr>
        <w:ilvl w:val="1"/>
        <w:numId w:val="1"/>
      </w:numPr>
    </w:pPr>
    <w:rPr>
      <w:color w:val="000000"/>
    </w:rPr>
  </w:style>
  <w:style w:type="paragraph" w:customStyle="1" w:styleId="DefinitionNum3">
    <w:name w:val="DefinitionNum3"/>
    <w:basedOn w:val="Normal"/>
    <w:pPr>
      <w:numPr>
        <w:ilvl w:val="2"/>
        <w:numId w:val="1"/>
      </w:numPr>
      <w:outlineLvl w:val="2"/>
    </w:pPr>
    <w:rPr>
      <w:color w:val="000000"/>
      <w:szCs w:val="22"/>
    </w:rPr>
  </w:style>
  <w:style w:type="paragraph" w:customStyle="1" w:styleId="DefinitionNum4">
    <w:name w:val="DefinitionNum4"/>
    <w:basedOn w:val="Normal"/>
    <w:pPr>
      <w:numPr>
        <w:ilvl w:val="3"/>
        <w:numId w:val="1"/>
      </w:numPr>
    </w:pPr>
  </w:style>
  <w:style w:type="character" w:customStyle="1" w:styleId="DocsOpenFilename">
    <w:name w:val="DocsOpen Filename"/>
    <w:rPr>
      <w:rFonts w:ascii="Times New Roman" w:hAnsi="Times New Roman" w:cs="Times New Roman"/>
      <w:sz w:val="16"/>
    </w:rPr>
  </w:style>
  <w:style w:type="paragraph" w:customStyle="1" w:styleId="EndIdentifier">
    <w:name w:val="EndIdentifier"/>
    <w:basedOn w:val="Commentary"/>
    <w:pPr>
      <w:pBdr>
        <w:top w:val="none" w:sz="0" w:space="0" w:color="auto"/>
        <w:left w:val="none" w:sz="0" w:space="0" w:color="auto"/>
        <w:bottom w:val="none" w:sz="0" w:space="0" w:color="auto"/>
        <w:right w:val="none" w:sz="0" w:space="0" w:color="auto"/>
      </w:pBdr>
      <w:shd w:val="clear" w:color="auto" w:fill="auto"/>
    </w:pPr>
    <w:rPr>
      <w:i/>
    </w:rPr>
  </w:style>
  <w:style w:type="character" w:styleId="EndnoteReference">
    <w:name w:val="endnote reference"/>
    <w:rPr>
      <w:vertAlign w:val="superscript"/>
    </w:rPr>
  </w:style>
  <w:style w:type="paragraph" w:styleId="EndnoteText">
    <w:name w:val="endnote text"/>
    <w:basedOn w:val="Normal"/>
    <w:link w:val="EndnoteTextChar1"/>
    <w:semiHidden/>
    <w:rsid w:val="00D86C69"/>
    <w:rPr>
      <w:szCs w:val="20"/>
    </w:rPr>
  </w:style>
  <w:style w:type="paragraph" w:customStyle="1" w:styleId="ExhibitHeading">
    <w:name w:val="Exhibit Heading"/>
    <w:basedOn w:val="Normal"/>
    <w:next w:val="Normal"/>
    <w:pPr>
      <w:pageBreakBefore/>
      <w:numPr>
        <w:numId w:val="2"/>
      </w:numPr>
      <w:tabs>
        <w:tab w:val="num" w:pos="964"/>
      </w:tabs>
      <w:ind w:left="964" w:hanging="964"/>
    </w:pPr>
    <w:rPr>
      <w:b/>
      <w:sz w:val="24"/>
    </w:rPr>
  </w:style>
  <w:style w:type="paragraph" w:styleId="Footer">
    <w:name w:val="footer"/>
    <w:basedOn w:val="Normal"/>
    <w:link w:val="FooterChar1"/>
    <w:uiPriority w:val="99"/>
    <w:rsid w:val="00FB7142"/>
    <w:pPr>
      <w:tabs>
        <w:tab w:val="center" w:pos="4153"/>
        <w:tab w:val="right" w:pos="8306"/>
      </w:tabs>
    </w:pPr>
  </w:style>
  <w:style w:type="character" w:styleId="FootnoteReference">
    <w:name w:val="footnote reference"/>
    <w:rPr>
      <w:vertAlign w:val="superscript"/>
    </w:rPr>
  </w:style>
  <w:style w:type="paragraph" w:styleId="FootnoteText">
    <w:name w:val="footnote text"/>
    <w:basedOn w:val="Normal"/>
    <w:link w:val="FootnoteTextChar"/>
    <w:rsid w:val="00081E29"/>
    <w:rPr>
      <w:szCs w:val="20"/>
    </w:rPr>
  </w:style>
  <w:style w:type="character" w:customStyle="1" w:styleId="FootnoteTextChar">
    <w:name w:val="Footnote Text Char"/>
    <w:link w:val="FootnoteText"/>
    <w:rsid w:val="00FF6F45"/>
    <w:rPr>
      <w:rFonts w:ascii="Arial" w:hAnsi="Arial"/>
    </w:rPr>
  </w:style>
  <w:style w:type="paragraph" w:styleId="Header">
    <w:name w:val="header"/>
    <w:aliases w:val="H-PDID"/>
    <w:basedOn w:val="Normal"/>
    <w:link w:val="HeaderChar1"/>
    <w:rsid w:val="00FB7142"/>
    <w:pPr>
      <w:tabs>
        <w:tab w:val="center" w:pos="4153"/>
        <w:tab w:val="right" w:pos="8306"/>
      </w:tabs>
    </w:pPr>
  </w:style>
  <w:style w:type="character" w:styleId="Hyperlink">
    <w:name w:val="Hyperlink"/>
    <w:uiPriority w:val="99"/>
    <w:unhideWhenUsed/>
    <w:rsid w:val="00081E29"/>
    <w:rPr>
      <w:color w:val="0000FF"/>
      <w:u w:val="single"/>
    </w:rPr>
  </w:style>
  <w:style w:type="paragraph" w:customStyle="1" w:styleId="IndentParaLevel2">
    <w:name w:val="IndentParaLevel2"/>
    <w:basedOn w:val="Normal"/>
    <w:pPr>
      <w:ind w:left="1928"/>
    </w:pPr>
  </w:style>
  <w:style w:type="paragraph" w:customStyle="1" w:styleId="IndentParaLevel3">
    <w:name w:val="IndentParaLevel3"/>
    <w:basedOn w:val="Normal"/>
    <w:pPr>
      <w:ind w:left="2892"/>
    </w:pPr>
  </w:style>
  <w:style w:type="paragraph" w:customStyle="1" w:styleId="IndentParaLevel4">
    <w:name w:val="IndentParaLevel4"/>
    <w:basedOn w:val="Normal"/>
    <w:pPr>
      <w:ind w:left="3856"/>
    </w:pPr>
  </w:style>
  <w:style w:type="paragraph" w:customStyle="1" w:styleId="IndentParaLevel5">
    <w:name w:val="IndentParaLevel5"/>
    <w:basedOn w:val="Normal"/>
    <w:pPr>
      <w:ind w:left="4820"/>
    </w:pPr>
  </w:style>
  <w:style w:type="paragraph" w:customStyle="1" w:styleId="IndentParaLevel6">
    <w:name w:val="IndentParaLevel6"/>
    <w:basedOn w:val="Normal"/>
    <w:pPr>
      <w:ind w:left="5783"/>
    </w:pPr>
  </w:style>
  <w:style w:type="paragraph" w:styleId="ListBullet">
    <w:name w:val="List Bullet"/>
    <w:basedOn w:val="Normal"/>
    <w:pPr>
      <w:numPr>
        <w:numId w:val="4"/>
      </w:numPr>
    </w:pPr>
  </w:style>
  <w:style w:type="paragraph" w:styleId="ListBullet2">
    <w:name w:val="List Bullet 2"/>
    <w:basedOn w:val="Normal"/>
    <w:pPr>
      <w:numPr>
        <w:ilvl w:val="1"/>
        <w:numId w:val="4"/>
      </w:numPr>
    </w:pPr>
  </w:style>
  <w:style w:type="paragraph" w:styleId="ListBullet3">
    <w:name w:val="List Bullet 3"/>
    <w:basedOn w:val="Normal"/>
    <w:pPr>
      <w:numPr>
        <w:ilvl w:val="2"/>
        <w:numId w:val="4"/>
      </w:numPr>
    </w:pPr>
  </w:style>
  <w:style w:type="paragraph" w:styleId="ListBullet4">
    <w:name w:val="List Bullet 4"/>
    <w:basedOn w:val="Normal"/>
    <w:pPr>
      <w:numPr>
        <w:ilvl w:val="3"/>
        <w:numId w:val="4"/>
      </w:numPr>
    </w:pPr>
  </w:style>
  <w:style w:type="paragraph" w:styleId="ListBullet5">
    <w:name w:val="List Bullet 5"/>
    <w:basedOn w:val="Normal"/>
    <w:pPr>
      <w:numPr>
        <w:ilvl w:val="4"/>
        <w:numId w:val="4"/>
      </w:numPr>
    </w:pPr>
  </w:style>
  <w:style w:type="paragraph" w:customStyle="1" w:styleId="MinorTitleArial">
    <w:name w:val="Minor_Title_Arial"/>
    <w:next w:val="Normal"/>
    <w:rPr>
      <w:rFonts w:ascii="Arial" w:hAnsi="Arial" w:cs="Arial"/>
      <w:color w:val="000000"/>
      <w:sz w:val="18"/>
      <w:szCs w:val="18"/>
      <w:lang w:eastAsia="en-US"/>
    </w:rPr>
  </w:style>
  <w:style w:type="paragraph" w:customStyle="1" w:styleId="OfficeSidebar">
    <w:name w:val="OfficeSidebar"/>
    <w:basedOn w:val="Normal"/>
    <w:semiHidden/>
    <w:pPr>
      <w:tabs>
        <w:tab w:val="left" w:pos="198"/>
      </w:tabs>
      <w:spacing w:line="220" w:lineRule="exact"/>
    </w:pPr>
    <w:rPr>
      <w:rFonts w:cs="Courier New"/>
      <w:sz w:val="18"/>
      <w:szCs w:val="18"/>
    </w:rPr>
  </w:style>
  <w:style w:type="character" w:styleId="PageNumber">
    <w:name w:val="page number"/>
    <w:semiHidden/>
    <w:rsid w:val="00FB7142"/>
    <w:rPr>
      <w:rFonts w:cs="Times New Roman"/>
    </w:rPr>
  </w:style>
  <w:style w:type="paragraph" w:customStyle="1" w:styleId="Recital">
    <w:name w:val="Recital"/>
    <w:basedOn w:val="Normal"/>
    <w:pPr>
      <w:numPr>
        <w:ilvl w:val="1"/>
        <w:numId w:val="3"/>
      </w:numPr>
      <w:tabs>
        <w:tab w:val="clear" w:pos="2044"/>
        <w:tab w:val="num" w:pos="964"/>
      </w:tabs>
      <w:ind w:left="964"/>
    </w:pPr>
  </w:style>
  <w:style w:type="paragraph" w:styleId="Subtitle">
    <w:name w:val="Subtitle"/>
    <w:basedOn w:val="Normal"/>
    <w:qFormat/>
    <w:pPr>
      <w:keepNext/>
    </w:pPr>
    <w:rPr>
      <w:rFonts w:cs="Arial"/>
      <w:b/>
      <w:sz w:val="24"/>
    </w:rPr>
  </w:style>
  <w:style w:type="paragraph" w:customStyle="1" w:styleId="TextLevel3">
    <w:name w:val="Text Level 3"/>
    <w:next w:val="Normal"/>
    <w:pPr>
      <w:tabs>
        <w:tab w:val="num" w:pos="907"/>
      </w:tabs>
      <w:spacing w:before="120" w:after="120"/>
      <w:ind w:left="907" w:hanging="907"/>
      <w:jc w:val="both"/>
    </w:pPr>
    <w:rPr>
      <w:rFonts w:ascii="Arial" w:hAnsi="Arial" w:cs="Arial"/>
      <w:lang w:val="en-GB" w:eastAsia="en-US"/>
    </w:rPr>
  </w:style>
  <w:style w:type="paragraph" w:customStyle="1" w:styleId="TableText">
    <w:name w:val="TableText"/>
    <w:basedOn w:val="Normal"/>
    <w:pPr>
      <w:spacing w:after="0"/>
    </w:pPr>
  </w:style>
  <w:style w:type="paragraph" w:styleId="Title">
    <w:name w:val="Title"/>
    <w:basedOn w:val="Normal"/>
    <w:qFormat/>
    <w:pPr>
      <w:keepNext/>
    </w:pPr>
    <w:rPr>
      <w:rFonts w:cs="Arial"/>
      <w:b/>
      <w:bCs/>
      <w:sz w:val="28"/>
      <w:szCs w:val="32"/>
    </w:rPr>
  </w:style>
  <w:style w:type="paragraph" w:styleId="TOC1">
    <w:name w:val="toc 1"/>
    <w:next w:val="ASDEFCONNormal"/>
    <w:autoRedefine/>
    <w:uiPriority w:val="39"/>
    <w:rsid w:val="00081E2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81E29"/>
    <w:pPr>
      <w:spacing w:after="60"/>
      <w:ind w:left="1417" w:hanging="850"/>
    </w:pPr>
    <w:rPr>
      <w:rFonts w:ascii="Arial" w:hAnsi="Arial" w:cs="Arial"/>
      <w:szCs w:val="24"/>
    </w:rPr>
  </w:style>
  <w:style w:type="paragraph" w:styleId="TOC3">
    <w:name w:val="toc 3"/>
    <w:basedOn w:val="Normal"/>
    <w:next w:val="Normal"/>
    <w:autoRedefine/>
    <w:rsid w:val="00081E29"/>
    <w:pPr>
      <w:spacing w:after="100"/>
      <w:ind w:left="400"/>
    </w:pPr>
  </w:style>
  <w:style w:type="paragraph" w:styleId="TOC4">
    <w:name w:val="toc 4"/>
    <w:basedOn w:val="Normal"/>
    <w:next w:val="Normal"/>
    <w:autoRedefine/>
    <w:rsid w:val="00081E29"/>
    <w:pPr>
      <w:spacing w:after="100"/>
      <w:ind w:left="600"/>
    </w:pPr>
  </w:style>
  <w:style w:type="paragraph" w:styleId="TOC5">
    <w:name w:val="toc 5"/>
    <w:basedOn w:val="Normal"/>
    <w:next w:val="Normal"/>
    <w:autoRedefine/>
    <w:rsid w:val="00081E29"/>
    <w:pPr>
      <w:spacing w:after="100"/>
      <w:ind w:left="800"/>
    </w:pPr>
  </w:style>
  <w:style w:type="paragraph" w:styleId="TOC6">
    <w:name w:val="toc 6"/>
    <w:basedOn w:val="Normal"/>
    <w:next w:val="Normal"/>
    <w:autoRedefine/>
    <w:rsid w:val="00081E29"/>
    <w:pPr>
      <w:spacing w:after="100"/>
      <w:ind w:left="1000"/>
    </w:pPr>
  </w:style>
  <w:style w:type="paragraph" w:styleId="TOC7">
    <w:name w:val="toc 7"/>
    <w:basedOn w:val="Normal"/>
    <w:next w:val="Normal"/>
    <w:autoRedefine/>
    <w:rsid w:val="00081E29"/>
    <w:pPr>
      <w:spacing w:after="100"/>
      <w:ind w:left="1200"/>
    </w:pPr>
  </w:style>
  <w:style w:type="paragraph" w:styleId="TOC8">
    <w:name w:val="toc 8"/>
    <w:basedOn w:val="Normal"/>
    <w:next w:val="Normal"/>
    <w:autoRedefine/>
    <w:rsid w:val="00081E29"/>
    <w:pPr>
      <w:spacing w:after="100"/>
      <w:ind w:left="1400"/>
    </w:pPr>
  </w:style>
  <w:style w:type="paragraph" w:styleId="TOC9">
    <w:name w:val="toc 9"/>
    <w:basedOn w:val="Normal"/>
    <w:next w:val="Normal"/>
    <w:autoRedefine/>
    <w:rsid w:val="00081E29"/>
    <w:pPr>
      <w:spacing w:after="100"/>
      <w:ind w:left="1600"/>
    </w:pPr>
  </w:style>
  <w:style w:type="paragraph" w:customStyle="1" w:styleId="TOCHeader">
    <w:name w:val="TOCHeader"/>
    <w:basedOn w:val="Normal"/>
    <w:pPr>
      <w:keepNext/>
    </w:pPr>
    <w:rPr>
      <w:b/>
      <w:sz w:val="24"/>
    </w:rPr>
  </w:style>
  <w:style w:type="paragraph" w:customStyle="1" w:styleId="TextLevel2">
    <w:name w:val="Text Level 2"/>
    <w:basedOn w:val="Normal"/>
    <w:pPr>
      <w:tabs>
        <w:tab w:val="num" w:pos="907"/>
      </w:tabs>
      <w:ind w:left="907" w:hanging="907"/>
    </w:pPr>
  </w:style>
  <w:style w:type="paragraph" w:customStyle="1" w:styleId="spara">
    <w:name w:val="spara"/>
    <w:pPr>
      <w:tabs>
        <w:tab w:val="num" w:pos="1440"/>
      </w:tabs>
      <w:spacing w:after="120"/>
      <w:ind w:left="1440" w:hanging="533"/>
      <w:jc w:val="both"/>
    </w:pPr>
    <w:rPr>
      <w:rFonts w:ascii="Arial" w:hAnsi="Arial"/>
      <w:noProof/>
    </w:rPr>
  </w:style>
  <w:style w:type="paragraph" w:customStyle="1" w:styleId="heading">
    <w:name w:val="heading"/>
    <w:next w:val="Normal"/>
    <w:pPr>
      <w:spacing w:after="120"/>
    </w:pPr>
    <w:rPr>
      <w:rFonts w:ascii="Arial" w:hAnsi="Arial" w:cs="Arial"/>
      <w:b/>
      <w:bCs/>
      <w:noProof/>
      <w:lang w:eastAsia="en-US"/>
    </w:rPr>
  </w:style>
  <w:style w:type="paragraph" w:customStyle="1" w:styleId="sspara">
    <w:name w:val="sspara"/>
    <w:pPr>
      <w:numPr>
        <w:numId w:val="5"/>
      </w:numPr>
      <w:tabs>
        <w:tab w:val="left" w:pos="2016"/>
      </w:tabs>
      <w:spacing w:after="120"/>
      <w:jc w:val="both"/>
    </w:pPr>
    <w:rPr>
      <w:rFonts w:ascii="Arial" w:hAnsi="Arial" w:cs="Arial"/>
      <w:lang w:val="en-GB" w:eastAsia="en-US"/>
    </w:rPr>
  </w:style>
  <w:style w:type="paragraph" w:customStyle="1" w:styleId="option">
    <w:name w:val="option"/>
    <w:basedOn w:val="Normal"/>
    <w:next w:val="Normal"/>
    <w:rPr>
      <w:b/>
      <w:bCs/>
      <w:i/>
      <w:iCs/>
      <w:lang w:val="en-US"/>
    </w:rPr>
  </w:style>
  <w:style w:type="paragraph" w:customStyle="1" w:styleId="TextNoNumber">
    <w:name w:val="Text No Number"/>
    <w:basedOn w:val="Normal"/>
    <w:next w:val="Normal"/>
    <w:pPr>
      <w:tabs>
        <w:tab w:val="left" w:pos="900"/>
      </w:tabs>
      <w:ind w:left="907"/>
    </w:pPr>
    <w:rPr>
      <w:lang w:val="en-GB"/>
    </w:rPr>
  </w:style>
  <w:style w:type="paragraph" w:customStyle="1" w:styleId="Notetodrafters">
    <w:name w:val="Note to drafters"/>
    <w:basedOn w:val="Normal"/>
    <w:next w:val="Heading3"/>
    <w:link w:val="NotetodraftersChar"/>
    <w:pPr>
      <w:shd w:val="clear" w:color="auto" w:fill="000000"/>
    </w:pPr>
    <w:rPr>
      <w:b/>
      <w:bCs/>
      <w:i/>
      <w:iCs/>
      <w:lang w:val="en-GB"/>
    </w:rPr>
  </w:style>
  <w:style w:type="character" w:customStyle="1" w:styleId="NotetodraftersChar">
    <w:name w:val="Note to drafters Char"/>
    <w:link w:val="Notetodrafters"/>
    <w:rPr>
      <w:rFonts w:ascii="Arial" w:hAnsi="Arial" w:cs="Arial"/>
      <w:b/>
      <w:bCs/>
      <w:i/>
      <w:iCs/>
      <w:lang w:val="en-GB" w:eastAsia="en-US" w:bidi="ar-SA"/>
    </w:rPr>
  </w:style>
  <w:style w:type="paragraph" w:customStyle="1" w:styleId="Figure">
    <w:name w:val="Figure"/>
    <w:basedOn w:val="Normal"/>
    <w:pPr>
      <w:tabs>
        <w:tab w:val="left" w:pos="851"/>
      </w:tabs>
      <w:spacing w:after="0"/>
      <w:jc w:val="left"/>
    </w:pPr>
  </w:style>
  <w:style w:type="paragraph" w:customStyle="1" w:styleId="Table">
    <w:name w:val="Table"/>
    <w:basedOn w:val="Normal"/>
    <w:pPr>
      <w:tabs>
        <w:tab w:val="left" w:pos="851"/>
      </w:tabs>
      <w:spacing w:after="0"/>
      <w:jc w:val="left"/>
    </w:pPr>
  </w:style>
  <w:style w:type="paragraph" w:customStyle="1" w:styleId="tabletext0">
    <w:name w:val="tabletext"/>
    <w:basedOn w:val="Normal"/>
    <w:next w:val="Normal"/>
    <w:pPr>
      <w:tabs>
        <w:tab w:val="left" w:pos="459"/>
      </w:tabs>
      <w:spacing w:before="40" w:after="40"/>
    </w:pPr>
    <w:rPr>
      <w:lang w:val="en-US"/>
    </w:rPr>
  </w:style>
  <w:style w:type="paragraph" w:styleId="CommentText">
    <w:name w:val="annotation text"/>
    <w:basedOn w:val="Normal"/>
    <w:link w:val="CommentTextChar1"/>
    <w:semiHidden/>
    <w:rsid w:val="00FB7142"/>
  </w:style>
  <w:style w:type="character" w:customStyle="1" w:styleId="CommentTextChar">
    <w:name w:val="Comment Text Char"/>
    <w:rsid w:val="00FB7142"/>
    <w:rPr>
      <w:rFonts w:ascii="Arial" w:hAnsi="Arial" w:cs="Times New Roman"/>
      <w:lang w:val="x-none" w:eastAsia="en-US"/>
    </w:rPr>
  </w:style>
  <w:style w:type="paragraph" w:styleId="BalloonText">
    <w:name w:val="Balloon Text"/>
    <w:basedOn w:val="Normal"/>
    <w:link w:val="BalloonTextChar"/>
    <w:autoRedefine/>
    <w:rsid w:val="00961F1E"/>
    <w:rPr>
      <w:sz w:val="18"/>
      <w:szCs w:val="20"/>
    </w:rPr>
  </w:style>
  <w:style w:type="paragraph" w:customStyle="1" w:styleId="NotetoTenderers">
    <w:name w:val="Note to Tenderers"/>
    <w:basedOn w:val="Normal"/>
    <w:next w:val="Normal"/>
    <w:rsid w:val="00FB7142"/>
    <w:pPr>
      <w:shd w:val="pct15" w:color="auto" w:fill="FFFFFF"/>
      <w:spacing w:before="120"/>
    </w:pPr>
    <w:rPr>
      <w:b/>
      <w:i/>
    </w:rPr>
  </w:style>
  <w:style w:type="character" w:styleId="CommentReference">
    <w:name w:val="annotation reference"/>
    <w:semiHidden/>
    <w:rsid w:val="00FB7142"/>
    <w:rPr>
      <w:rFonts w:cs="Times New Roman"/>
      <w:sz w:val="16"/>
    </w:rPr>
  </w:style>
  <w:style w:type="paragraph" w:styleId="CommentSubject">
    <w:name w:val="annotation subject"/>
    <w:basedOn w:val="CommentText"/>
    <w:next w:val="CommentText"/>
    <w:link w:val="CommentSubjectChar1"/>
    <w:semiHidden/>
    <w:rsid w:val="00FB7142"/>
    <w:rPr>
      <w:b/>
      <w:bCs/>
    </w:rPr>
  </w:style>
  <w:style w:type="paragraph" w:styleId="DocumentMap">
    <w:name w:val="Document Map"/>
    <w:basedOn w:val="Normal"/>
    <w:semiHidden/>
    <w:rsid w:val="00F90F8F"/>
    <w:pPr>
      <w:shd w:val="clear" w:color="auto" w:fill="000080"/>
    </w:pPr>
    <w:rPr>
      <w:rFonts w:ascii="Tahoma" w:hAnsi="Tahoma" w:cs="Tahoma"/>
    </w:rPr>
  </w:style>
  <w:style w:type="table" w:styleId="TableGrid">
    <w:name w:val="Table Grid"/>
    <w:basedOn w:val="TableNormal"/>
    <w:rsid w:val="00D86C6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D86C69"/>
  </w:style>
  <w:style w:type="paragraph" w:customStyle="1" w:styleId="Indentlist">
    <w:name w:val="Indent list"/>
    <w:basedOn w:val="Normal"/>
    <w:rsid w:val="00FB7142"/>
    <w:pPr>
      <w:numPr>
        <w:numId w:val="8"/>
      </w:numPr>
      <w:tabs>
        <w:tab w:val="left" w:pos="1701"/>
      </w:tabs>
    </w:pPr>
  </w:style>
  <w:style w:type="paragraph" w:customStyle="1" w:styleId="spara2">
    <w:name w:val="spara2"/>
    <w:basedOn w:val="Normal"/>
    <w:rsid w:val="00FF2661"/>
    <w:pPr>
      <w:numPr>
        <w:ilvl w:val="6"/>
        <w:numId w:val="9"/>
      </w:numPr>
    </w:pPr>
  </w:style>
  <w:style w:type="paragraph" w:customStyle="1" w:styleId="Style1">
    <w:name w:val="Style1"/>
    <w:basedOn w:val="Heading4"/>
    <w:rsid w:val="00D86C69"/>
    <w:pPr>
      <w:numPr>
        <w:ilvl w:val="0"/>
        <w:numId w:val="0"/>
      </w:numPr>
    </w:pPr>
    <w:rPr>
      <w:b w:val="0"/>
    </w:rPr>
  </w:style>
  <w:style w:type="paragraph" w:customStyle="1" w:styleId="Notespara">
    <w:name w:val="Note spara"/>
    <w:basedOn w:val="PlainText"/>
    <w:rsid w:val="00DC25EA"/>
    <w:pPr>
      <w:keepNext/>
      <w:numPr>
        <w:numId w:val="11"/>
      </w:numPr>
      <w:tabs>
        <w:tab w:val="clear" w:pos="1134"/>
      </w:tabs>
      <w:ind w:left="964" w:firstLine="0"/>
    </w:pPr>
    <w:rPr>
      <w:rFonts w:ascii="Arial" w:hAnsi="Arial" w:cs="Times New Roman"/>
      <w:b/>
      <w:i/>
      <w:szCs w:val="22"/>
    </w:rPr>
  </w:style>
  <w:style w:type="paragraph" w:styleId="PlainText">
    <w:name w:val="Plain Text"/>
    <w:basedOn w:val="Normal"/>
    <w:link w:val="PlainTextChar"/>
    <w:rsid w:val="00DC25EA"/>
    <w:rPr>
      <w:rFonts w:ascii="Courier New" w:hAnsi="Courier New" w:cs="Courier New"/>
      <w:szCs w:val="20"/>
    </w:rPr>
  </w:style>
  <w:style w:type="character" w:customStyle="1" w:styleId="PlainTextChar">
    <w:name w:val="Plain Text Char"/>
    <w:link w:val="PlainText"/>
    <w:rsid w:val="00DC25EA"/>
    <w:rPr>
      <w:rFonts w:ascii="Courier New" w:eastAsia="Calibri" w:hAnsi="Courier New" w:cs="Courier New"/>
      <w:lang w:eastAsia="en-US"/>
    </w:rPr>
  </w:style>
  <w:style w:type="paragraph" w:customStyle="1" w:styleId="NoteToDrafters0">
    <w:name w:val="Note To Drafters"/>
    <w:basedOn w:val="Normal"/>
    <w:next w:val="Normal"/>
    <w:autoRedefine/>
    <w:semiHidden/>
    <w:rsid w:val="00FB7142"/>
    <w:pPr>
      <w:keepNext/>
      <w:shd w:val="clear" w:color="auto" w:fill="000000"/>
      <w:spacing w:before="120"/>
    </w:pPr>
    <w:rPr>
      <w:b/>
      <w:i/>
    </w:rPr>
  </w:style>
  <w:style w:type="paragraph" w:customStyle="1" w:styleId="Options">
    <w:name w:val="Options"/>
    <w:basedOn w:val="Normal"/>
    <w:next w:val="Normal"/>
    <w:semiHidden/>
    <w:rsid w:val="00FB7142"/>
    <w:pPr>
      <w:widowControl w:val="0"/>
    </w:pPr>
    <w:rPr>
      <w:b/>
      <w:i/>
    </w:rPr>
  </w:style>
  <w:style w:type="paragraph" w:customStyle="1" w:styleId="subpara">
    <w:name w:val="sub para"/>
    <w:basedOn w:val="Normal"/>
    <w:semiHidden/>
    <w:rsid w:val="00FB7142"/>
    <w:pPr>
      <w:tabs>
        <w:tab w:val="num" w:pos="1134"/>
        <w:tab w:val="left" w:pos="1418"/>
      </w:tabs>
      <w:ind w:left="1134" w:hanging="567"/>
    </w:pPr>
  </w:style>
  <w:style w:type="paragraph" w:customStyle="1" w:styleId="subsubpara">
    <w:name w:val="sub sub para"/>
    <w:basedOn w:val="Normal"/>
    <w:autoRedefine/>
    <w:semiHidden/>
    <w:rsid w:val="00FB7142"/>
    <w:pPr>
      <w:tabs>
        <w:tab w:val="left" w:pos="1985"/>
        <w:tab w:val="num" w:pos="2138"/>
      </w:tabs>
      <w:ind w:left="1985" w:hanging="567"/>
    </w:pPr>
  </w:style>
  <w:style w:type="paragraph" w:customStyle="1" w:styleId="TitleCase">
    <w:name w:val="Title Case"/>
    <w:basedOn w:val="Normal"/>
    <w:next w:val="Normal"/>
    <w:semiHidden/>
    <w:rsid w:val="00FB7142"/>
    <w:rPr>
      <w:b/>
      <w:caps/>
    </w:rPr>
  </w:style>
  <w:style w:type="paragraph" w:customStyle="1" w:styleId="Recitals">
    <w:name w:val="Recitals"/>
    <w:basedOn w:val="Normal"/>
    <w:semiHidden/>
    <w:rsid w:val="00FB7142"/>
    <w:pPr>
      <w:tabs>
        <w:tab w:val="left" w:pos="851"/>
        <w:tab w:val="num" w:pos="1134"/>
      </w:tabs>
    </w:pPr>
  </w:style>
  <w:style w:type="paragraph" w:customStyle="1" w:styleId="NormalIndent1">
    <w:name w:val="Normal Indent1"/>
    <w:basedOn w:val="Normal"/>
    <w:autoRedefine/>
    <w:semiHidden/>
    <w:rsid w:val="00FB7142"/>
    <w:pPr>
      <w:keepNext/>
      <w:ind w:left="851"/>
    </w:pPr>
  </w:style>
  <w:style w:type="paragraph" w:customStyle="1" w:styleId="TablePara">
    <w:name w:val="Table Para"/>
    <w:autoRedefine/>
    <w:semiHidden/>
    <w:rsid w:val="00FB7142"/>
    <w:pPr>
      <w:numPr>
        <w:numId w:val="12"/>
      </w:numPr>
      <w:spacing w:before="120" w:after="120"/>
      <w:jc w:val="both"/>
    </w:pPr>
    <w:rPr>
      <w:rFonts w:ascii="Arial" w:hAnsi="Arial"/>
      <w:noProof/>
      <w:lang w:val="en-US" w:eastAsia="en-US"/>
    </w:rPr>
  </w:style>
  <w:style w:type="paragraph" w:customStyle="1" w:styleId="TableStyle">
    <w:name w:val="Table Style"/>
    <w:basedOn w:val="Normal"/>
    <w:autoRedefine/>
    <w:semiHidden/>
    <w:rsid w:val="00FB7142"/>
  </w:style>
  <w:style w:type="paragraph" w:customStyle="1" w:styleId="TableSubpara">
    <w:name w:val="Table Subpara"/>
    <w:autoRedefine/>
    <w:semiHidden/>
    <w:rsid w:val="00FB7142"/>
    <w:pPr>
      <w:spacing w:before="120" w:after="120"/>
      <w:ind w:left="568" w:hanging="568"/>
      <w:jc w:val="both"/>
    </w:pPr>
    <w:rPr>
      <w:rFonts w:ascii="Arial" w:hAnsi="Arial"/>
      <w:noProof/>
      <w:lang w:val="en-US" w:eastAsia="en-US"/>
    </w:rPr>
  </w:style>
  <w:style w:type="paragraph" w:customStyle="1" w:styleId="Level11fo">
    <w:name w:val="Level 1.1fo"/>
    <w:basedOn w:val="Normal"/>
    <w:rsid w:val="00FB7142"/>
    <w:pPr>
      <w:spacing w:before="200" w:after="0" w:line="240" w:lineRule="atLeast"/>
      <w:ind w:left="720"/>
    </w:pPr>
    <w:rPr>
      <w:rFonts w:eastAsia="SimSun"/>
      <w:szCs w:val="20"/>
      <w:lang w:eastAsia="zh-CN"/>
    </w:rPr>
  </w:style>
  <w:style w:type="character" w:customStyle="1" w:styleId="ArialBold10">
    <w:name w:val="ArialBold10"/>
    <w:rsid w:val="00FB7142"/>
    <w:rPr>
      <w:rFonts w:ascii="Arial" w:hAnsi="Arial" w:cs="Arial"/>
      <w:b/>
      <w:sz w:val="20"/>
    </w:rPr>
  </w:style>
  <w:style w:type="character" w:customStyle="1" w:styleId="Heading1Char">
    <w:name w:val="Heading 1 Char"/>
    <w:link w:val="Heading1"/>
    <w:locked/>
    <w:rsid w:val="00295C0E"/>
    <w:rPr>
      <w:rFonts w:ascii="Arial" w:hAnsi="Arial" w:cs="Arial"/>
      <w:b/>
      <w:bCs/>
      <w:kern w:val="32"/>
      <w:sz w:val="32"/>
      <w:szCs w:val="32"/>
    </w:rPr>
  </w:style>
  <w:style w:type="character" w:customStyle="1" w:styleId="Heading2Char">
    <w:name w:val="Heading 2 Char"/>
    <w:link w:val="Heading2"/>
    <w:locked/>
    <w:rsid w:val="00081E29"/>
    <w:rPr>
      <w:rFonts w:ascii="Cambria" w:hAnsi="Cambria"/>
      <w:b/>
      <w:bCs/>
      <w:color w:val="4F81BD"/>
      <w:sz w:val="26"/>
      <w:szCs w:val="26"/>
    </w:rPr>
  </w:style>
  <w:style w:type="character" w:customStyle="1" w:styleId="Heading3Char">
    <w:name w:val="Heading 3 Char"/>
    <w:semiHidden/>
    <w:locked/>
    <w:rsid w:val="00FB7142"/>
    <w:rPr>
      <w:rFonts w:ascii="Cambria" w:hAnsi="Cambria"/>
      <w:b/>
      <w:bCs/>
      <w:sz w:val="26"/>
      <w:szCs w:val="26"/>
      <w:lang w:val="x-none" w:eastAsia="en-US" w:bidi="ar-SA"/>
    </w:rPr>
  </w:style>
  <w:style w:type="character" w:customStyle="1" w:styleId="Heading4Char">
    <w:name w:val="Heading 4 Char"/>
    <w:semiHidden/>
    <w:locked/>
    <w:rsid w:val="00FB7142"/>
    <w:rPr>
      <w:rFonts w:ascii="Calibri" w:hAnsi="Calibri"/>
      <w:b/>
      <w:bCs/>
      <w:sz w:val="28"/>
      <w:szCs w:val="28"/>
      <w:lang w:val="x-none" w:eastAsia="en-US" w:bidi="ar-SA"/>
    </w:rPr>
  </w:style>
  <w:style w:type="character" w:customStyle="1" w:styleId="Heading5Char">
    <w:name w:val="Heading 5 Char"/>
    <w:semiHidden/>
    <w:locked/>
    <w:rsid w:val="00FB7142"/>
    <w:rPr>
      <w:rFonts w:ascii="Calibri" w:hAnsi="Calibri"/>
      <w:b/>
      <w:bCs/>
      <w:i/>
      <w:iCs/>
      <w:sz w:val="26"/>
      <w:szCs w:val="26"/>
      <w:lang w:val="x-none" w:eastAsia="en-US" w:bidi="ar-SA"/>
    </w:rPr>
  </w:style>
  <w:style w:type="character" w:customStyle="1" w:styleId="Heading6Char">
    <w:name w:val="Heading 6 Char"/>
    <w:semiHidden/>
    <w:locked/>
    <w:rsid w:val="00FB7142"/>
    <w:rPr>
      <w:rFonts w:ascii="Calibri" w:hAnsi="Calibri"/>
      <w:b/>
      <w:bCs/>
      <w:sz w:val="22"/>
      <w:szCs w:val="22"/>
      <w:lang w:val="x-none" w:eastAsia="en-US" w:bidi="ar-SA"/>
    </w:rPr>
  </w:style>
  <w:style w:type="character" w:customStyle="1" w:styleId="Heading7Char">
    <w:name w:val="Heading 7 Char"/>
    <w:semiHidden/>
    <w:locked/>
    <w:rsid w:val="00FB7142"/>
    <w:rPr>
      <w:rFonts w:ascii="Calibri" w:hAnsi="Calibri"/>
      <w:sz w:val="24"/>
      <w:szCs w:val="24"/>
      <w:lang w:val="x-none" w:eastAsia="en-US" w:bidi="ar-SA"/>
    </w:rPr>
  </w:style>
  <w:style w:type="character" w:customStyle="1" w:styleId="Heading8Char">
    <w:name w:val="Heading 8 Char"/>
    <w:semiHidden/>
    <w:locked/>
    <w:rsid w:val="00FB7142"/>
    <w:rPr>
      <w:rFonts w:ascii="Calibri" w:hAnsi="Calibri"/>
      <w:i/>
      <w:iCs/>
      <w:sz w:val="24"/>
      <w:szCs w:val="24"/>
      <w:lang w:val="x-none" w:eastAsia="en-US" w:bidi="ar-SA"/>
    </w:rPr>
  </w:style>
  <w:style w:type="character" w:customStyle="1" w:styleId="Heading9Char">
    <w:name w:val="Heading 9 Char"/>
    <w:semiHidden/>
    <w:locked/>
    <w:rsid w:val="00FB7142"/>
    <w:rPr>
      <w:rFonts w:ascii="Cambria" w:hAnsi="Cambria"/>
      <w:sz w:val="22"/>
      <w:szCs w:val="22"/>
      <w:lang w:val="x-none" w:eastAsia="en-US" w:bidi="ar-SA"/>
    </w:rPr>
  </w:style>
  <w:style w:type="character" w:customStyle="1" w:styleId="HeaderChar">
    <w:name w:val="Header Char"/>
    <w:semiHidden/>
    <w:locked/>
    <w:rsid w:val="00FB7142"/>
    <w:rPr>
      <w:rFonts w:ascii="Arial" w:hAnsi="Arial" w:cs="Times New Roman"/>
      <w:sz w:val="22"/>
      <w:szCs w:val="22"/>
      <w:lang w:val="x-none" w:eastAsia="en-US"/>
    </w:rPr>
  </w:style>
  <w:style w:type="character" w:customStyle="1" w:styleId="FooterChar">
    <w:name w:val="Footer Char"/>
    <w:uiPriority w:val="99"/>
    <w:locked/>
    <w:rsid w:val="00FB7142"/>
    <w:rPr>
      <w:rFonts w:ascii="Arial" w:hAnsi="Arial" w:cs="Times New Roman"/>
      <w:sz w:val="22"/>
      <w:szCs w:val="22"/>
      <w:lang w:val="x-none" w:eastAsia="en-US"/>
    </w:rPr>
  </w:style>
  <w:style w:type="character" w:customStyle="1" w:styleId="CommentSubjectChar">
    <w:name w:val="Comment Subject Char"/>
    <w:semiHidden/>
    <w:locked/>
    <w:rsid w:val="00FB7142"/>
    <w:rPr>
      <w:rFonts w:ascii="Arial" w:hAnsi="Arial" w:cs="Times New Roman"/>
      <w:b/>
      <w:bCs/>
      <w:lang w:val="x-none" w:eastAsia="en-US"/>
    </w:rPr>
  </w:style>
  <w:style w:type="character" w:customStyle="1" w:styleId="BalloonTextChar">
    <w:name w:val="Balloon Text Char"/>
    <w:link w:val="BalloonText"/>
    <w:locked/>
    <w:rsid w:val="00961F1E"/>
    <w:rPr>
      <w:rFonts w:ascii="Arial" w:hAnsi="Arial"/>
      <w:sz w:val="18"/>
    </w:rPr>
  </w:style>
  <w:style w:type="character" w:customStyle="1" w:styleId="BodyTextChar">
    <w:name w:val="Body Text Char"/>
    <w:semiHidden/>
    <w:locked/>
    <w:rsid w:val="00FB7142"/>
    <w:rPr>
      <w:rFonts w:ascii="Arial" w:hAnsi="Arial" w:cs="Times New Roman"/>
      <w:sz w:val="22"/>
      <w:szCs w:val="22"/>
      <w:lang w:val="x-none" w:eastAsia="en-US"/>
    </w:rPr>
  </w:style>
  <w:style w:type="character" w:customStyle="1" w:styleId="EndnoteTextChar">
    <w:name w:val="Endnote Text Char"/>
    <w:semiHidden/>
    <w:locked/>
    <w:rsid w:val="00FB7142"/>
    <w:rPr>
      <w:rFonts w:ascii="Arial" w:hAnsi="Arial" w:cs="Times New Roman"/>
      <w:lang w:val="x-none" w:eastAsia="en-US"/>
    </w:rPr>
  </w:style>
  <w:style w:type="character" w:customStyle="1" w:styleId="SC430">
    <w:name w:val="SC430"/>
    <w:rsid w:val="00FB7142"/>
    <w:rPr>
      <w:rFonts w:cs="Arial"/>
      <w:color w:val="000000"/>
      <w:sz w:val="20"/>
      <w:szCs w:val="20"/>
    </w:rPr>
  </w:style>
  <w:style w:type="character" w:customStyle="1" w:styleId="Heading1Char1">
    <w:name w:val="Heading 1 Char1"/>
    <w:locked/>
    <w:rsid w:val="00FB7142"/>
    <w:rPr>
      <w:rFonts w:ascii="Arial" w:hAnsi="Arial" w:cs="Arial"/>
      <w:b/>
      <w:bCs/>
      <w:kern w:val="32"/>
      <w:sz w:val="32"/>
      <w:szCs w:val="32"/>
    </w:rPr>
  </w:style>
  <w:style w:type="character" w:customStyle="1" w:styleId="Heading2Char1">
    <w:name w:val="Heading 2 Char1"/>
    <w:uiPriority w:val="9"/>
    <w:locked/>
    <w:rsid w:val="00FB7142"/>
    <w:rPr>
      <w:b/>
      <w:bCs/>
      <w:sz w:val="26"/>
      <w:szCs w:val="26"/>
      <w:lang w:val="en-AU" w:eastAsia="en-US" w:bidi="ar-SA"/>
    </w:rPr>
  </w:style>
  <w:style w:type="character" w:customStyle="1" w:styleId="Heading3Char1">
    <w:name w:val="Heading 3 Char1"/>
    <w:link w:val="Heading3"/>
    <w:uiPriority w:val="9"/>
    <w:locked/>
    <w:rsid w:val="00FB7142"/>
    <w:rPr>
      <w:b/>
      <w:bCs/>
      <w:szCs w:val="24"/>
    </w:rPr>
  </w:style>
  <w:style w:type="character" w:customStyle="1" w:styleId="Heading4Char1">
    <w:name w:val="Heading 4 Char1"/>
    <w:link w:val="Heading4"/>
    <w:uiPriority w:val="9"/>
    <w:locked/>
    <w:rsid w:val="00FB7142"/>
    <w:rPr>
      <w:b/>
      <w:bCs/>
      <w:iCs/>
      <w:szCs w:val="24"/>
    </w:rPr>
  </w:style>
  <w:style w:type="character" w:customStyle="1" w:styleId="Heading5Char1">
    <w:name w:val="Heading 5 Char1"/>
    <w:link w:val="Heading5"/>
    <w:locked/>
    <w:rsid w:val="00FB7142"/>
    <w:rPr>
      <w:rFonts w:ascii="Arial" w:hAnsi="Arial"/>
      <w:b/>
      <w:bCs/>
      <w:iCs/>
      <w:szCs w:val="26"/>
    </w:rPr>
  </w:style>
  <w:style w:type="character" w:customStyle="1" w:styleId="Heading6Char1">
    <w:name w:val="Heading 6 Char1"/>
    <w:link w:val="Heading6"/>
    <w:locked/>
    <w:rsid w:val="00FB7142"/>
    <w:rPr>
      <w:b/>
      <w:bCs/>
      <w:sz w:val="22"/>
      <w:szCs w:val="24"/>
    </w:rPr>
  </w:style>
  <w:style w:type="character" w:customStyle="1" w:styleId="Heading7Char1">
    <w:name w:val="Heading 7 Char1"/>
    <w:aliases w:val="Spare3 Char"/>
    <w:link w:val="Heading7"/>
    <w:locked/>
    <w:rsid w:val="00FB7142"/>
    <w:rPr>
      <w:sz w:val="24"/>
      <w:szCs w:val="24"/>
    </w:rPr>
  </w:style>
  <w:style w:type="character" w:customStyle="1" w:styleId="Heading8Char1">
    <w:name w:val="Heading 8 Char1"/>
    <w:aliases w:val="Spare4 Char,Dot-1 Char,GrpHead Char,para(1) Char"/>
    <w:link w:val="Heading8"/>
    <w:locked/>
    <w:rsid w:val="00FB7142"/>
    <w:rPr>
      <w:i/>
      <w:iCs/>
      <w:sz w:val="24"/>
      <w:szCs w:val="24"/>
    </w:rPr>
  </w:style>
  <w:style w:type="character" w:customStyle="1" w:styleId="Heading9Char1">
    <w:name w:val="Heading 9 Char1"/>
    <w:aliases w:val="Spare5 Char,Dot-2 Char,ParHead Char,para(a) Char"/>
    <w:link w:val="Heading9"/>
    <w:locked/>
    <w:rsid w:val="00FB7142"/>
    <w:rPr>
      <w:rFonts w:ascii="Arial" w:hAnsi="Arial" w:cs="Arial"/>
      <w:sz w:val="22"/>
      <w:szCs w:val="24"/>
    </w:rPr>
  </w:style>
  <w:style w:type="character" w:customStyle="1" w:styleId="CommentTextChar1">
    <w:name w:val="Comment Text Char1"/>
    <w:link w:val="CommentText"/>
    <w:semiHidden/>
    <w:rsid w:val="00FB7142"/>
    <w:rPr>
      <w:rFonts w:ascii="Arial" w:eastAsia="Calibri" w:hAnsi="Arial"/>
      <w:szCs w:val="22"/>
      <w:lang w:eastAsia="en-US"/>
    </w:rPr>
  </w:style>
  <w:style w:type="character" w:customStyle="1" w:styleId="HeaderChar1">
    <w:name w:val="Header Char1"/>
    <w:aliases w:val="H-PDID Char"/>
    <w:link w:val="Header"/>
    <w:rsid w:val="00FB7142"/>
    <w:rPr>
      <w:rFonts w:ascii="Arial" w:eastAsia="Calibri" w:hAnsi="Arial"/>
      <w:szCs w:val="22"/>
      <w:lang w:eastAsia="en-US"/>
    </w:rPr>
  </w:style>
  <w:style w:type="character" w:customStyle="1" w:styleId="FooterChar1">
    <w:name w:val="Footer Char1"/>
    <w:link w:val="Footer"/>
    <w:rsid w:val="00FB7142"/>
    <w:rPr>
      <w:rFonts w:ascii="Arial" w:eastAsia="Calibri" w:hAnsi="Arial"/>
      <w:szCs w:val="22"/>
      <w:lang w:eastAsia="en-US"/>
    </w:rPr>
  </w:style>
  <w:style w:type="character" w:customStyle="1" w:styleId="EndnoteTextChar1">
    <w:name w:val="Endnote Text Char1"/>
    <w:link w:val="EndnoteText"/>
    <w:semiHidden/>
    <w:locked/>
    <w:rsid w:val="00FB7142"/>
    <w:rPr>
      <w:rFonts w:ascii="Arial" w:eastAsia="Calibri" w:hAnsi="Arial"/>
      <w:lang w:val="en-AU" w:eastAsia="en-US" w:bidi="ar-SA"/>
    </w:rPr>
  </w:style>
  <w:style w:type="character" w:customStyle="1" w:styleId="BodyTextChar1">
    <w:name w:val="Body Text Char1"/>
    <w:link w:val="BodyText"/>
    <w:locked/>
    <w:rsid w:val="00FB7142"/>
    <w:rPr>
      <w:rFonts w:ascii="Arial" w:eastAsia="Calibri" w:hAnsi="Arial"/>
      <w:szCs w:val="22"/>
      <w:lang w:val="en-AU" w:eastAsia="en-US" w:bidi="ar-SA"/>
    </w:rPr>
  </w:style>
  <w:style w:type="character" w:styleId="FollowedHyperlink">
    <w:name w:val="FollowedHyperlink"/>
    <w:rsid w:val="00FB7142"/>
    <w:rPr>
      <w:rFonts w:cs="Times New Roman"/>
      <w:color w:val="800080"/>
      <w:u w:val="single"/>
    </w:rPr>
  </w:style>
  <w:style w:type="character" w:styleId="Emphasis">
    <w:name w:val="Emphasis"/>
    <w:qFormat/>
    <w:rsid w:val="00FB7142"/>
    <w:rPr>
      <w:i/>
      <w:iCs/>
    </w:rPr>
  </w:style>
  <w:style w:type="character" w:customStyle="1" w:styleId="CommentSubjectChar1">
    <w:name w:val="Comment Subject Char1"/>
    <w:link w:val="CommentSubject"/>
    <w:semiHidden/>
    <w:rsid w:val="00FB7142"/>
    <w:rPr>
      <w:rFonts w:ascii="Arial" w:eastAsia="Calibri" w:hAnsi="Arial"/>
      <w:b/>
      <w:bCs/>
      <w:szCs w:val="22"/>
      <w:lang w:eastAsia="en-US"/>
    </w:rPr>
  </w:style>
  <w:style w:type="character" w:customStyle="1" w:styleId="BalloonTextChar1">
    <w:name w:val="Balloon Text Char1"/>
    <w:semiHidden/>
    <w:rsid w:val="00FB7142"/>
    <w:rPr>
      <w:rFonts w:ascii="Tahoma" w:eastAsia="Calibri" w:hAnsi="Tahoma" w:cs="Tahoma"/>
      <w:sz w:val="16"/>
      <w:szCs w:val="16"/>
      <w:lang w:eastAsia="en-US"/>
    </w:rPr>
  </w:style>
  <w:style w:type="paragraph" w:styleId="Revision">
    <w:name w:val="Revision"/>
    <w:hidden/>
    <w:uiPriority w:val="99"/>
    <w:semiHidden/>
    <w:rsid w:val="00D829A4"/>
    <w:rPr>
      <w:rFonts w:ascii="Arial" w:eastAsia="Calibri" w:hAnsi="Arial"/>
      <w:szCs w:val="22"/>
      <w:lang w:eastAsia="en-US"/>
    </w:rPr>
  </w:style>
  <w:style w:type="paragraph" w:customStyle="1" w:styleId="COTCOCLV2-ASDEFCON">
    <w:name w:val="COT/COC LV2 - ASDEFCON"/>
    <w:basedOn w:val="ASDEFCONNormal"/>
    <w:next w:val="COTCOCLV3-ASDEFCON"/>
    <w:rsid w:val="00081E29"/>
    <w:pPr>
      <w:keepNext/>
      <w:keepLines/>
      <w:numPr>
        <w:ilvl w:val="1"/>
        <w:numId w:val="13"/>
      </w:numPr>
      <w:pBdr>
        <w:bottom w:val="single" w:sz="4" w:space="1" w:color="auto"/>
      </w:pBdr>
    </w:pPr>
    <w:rPr>
      <w:b/>
    </w:rPr>
  </w:style>
  <w:style w:type="paragraph" w:customStyle="1" w:styleId="ASDEFCONNormal">
    <w:name w:val="ASDEFCON Normal"/>
    <w:link w:val="ASDEFCONNormalChar"/>
    <w:rsid w:val="00081E29"/>
    <w:pPr>
      <w:spacing w:after="120"/>
      <w:jc w:val="both"/>
    </w:pPr>
    <w:rPr>
      <w:rFonts w:ascii="Arial" w:hAnsi="Arial"/>
      <w:color w:val="000000"/>
      <w:szCs w:val="40"/>
    </w:rPr>
  </w:style>
  <w:style w:type="character" w:customStyle="1" w:styleId="ASDEFCONNormalChar">
    <w:name w:val="ASDEFCON Normal Char"/>
    <w:link w:val="ASDEFCONNormal"/>
    <w:rsid w:val="00081E29"/>
    <w:rPr>
      <w:rFonts w:ascii="Arial" w:hAnsi="Arial"/>
      <w:color w:val="000000"/>
      <w:szCs w:val="40"/>
    </w:rPr>
  </w:style>
  <w:style w:type="paragraph" w:customStyle="1" w:styleId="COTCOCLV3-ASDEFCON">
    <w:name w:val="COT/COC LV3 - ASDEFCON"/>
    <w:basedOn w:val="ASDEFCONNormal"/>
    <w:rsid w:val="00081E29"/>
    <w:pPr>
      <w:numPr>
        <w:ilvl w:val="2"/>
        <w:numId w:val="13"/>
      </w:numPr>
    </w:pPr>
  </w:style>
  <w:style w:type="paragraph" w:customStyle="1" w:styleId="COTCOCLV1-ASDEFCON">
    <w:name w:val="COT/COC LV1 - ASDEFCON"/>
    <w:basedOn w:val="ASDEFCONNormal"/>
    <w:next w:val="COTCOCLV2-ASDEFCON"/>
    <w:rsid w:val="00081E29"/>
    <w:pPr>
      <w:keepNext/>
      <w:keepLines/>
      <w:numPr>
        <w:numId w:val="13"/>
      </w:numPr>
      <w:spacing w:before="240"/>
    </w:pPr>
    <w:rPr>
      <w:b/>
      <w:caps/>
    </w:rPr>
  </w:style>
  <w:style w:type="paragraph" w:customStyle="1" w:styleId="COTCOCLV4-ASDEFCON">
    <w:name w:val="COT/COC LV4 - ASDEFCON"/>
    <w:basedOn w:val="ASDEFCONNormal"/>
    <w:rsid w:val="00081E29"/>
    <w:pPr>
      <w:numPr>
        <w:ilvl w:val="3"/>
        <w:numId w:val="13"/>
      </w:numPr>
    </w:pPr>
  </w:style>
  <w:style w:type="paragraph" w:customStyle="1" w:styleId="COTCOCLV5-ASDEFCON">
    <w:name w:val="COT/COC LV5 - ASDEFCON"/>
    <w:basedOn w:val="ASDEFCONNormal"/>
    <w:rsid w:val="00081E29"/>
    <w:pPr>
      <w:numPr>
        <w:ilvl w:val="4"/>
        <w:numId w:val="13"/>
      </w:numPr>
    </w:pPr>
  </w:style>
  <w:style w:type="paragraph" w:customStyle="1" w:styleId="COTCOCLV6-ASDEFCON">
    <w:name w:val="COT/COC LV6 - ASDEFCON"/>
    <w:basedOn w:val="ASDEFCONNormal"/>
    <w:rsid w:val="00081E29"/>
    <w:pPr>
      <w:keepLines/>
      <w:numPr>
        <w:ilvl w:val="5"/>
        <w:numId w:val="13"/>
      </w:numPr>
    </w:pPr>
  </w:style>
  <w:style w:type="paragraph" w:customStyle="1" w:styleId="ASDEFCONOption">
    <w:name w:val="ASDEFCON Option"/>
    <w:basedOn w:val="ASDEFCONNormal"/>
    <w:rsid w:val="00081E29"/>
    <w:pPr>
      <w:keepNext/>
      <w:spacing w:before="60"/>
    </w:pPr>
    <w:rPr>
      <w:b/>
      <w:i/>
      <w:szCs w:val="24"/>
    </w:rPr>
  </w:style>
  <w:style w:type="paragraph" w:customStyle="1" w:styleId="NoteToDrafters-ASDEFCON">
    <w:name w:val="Note To Drafters - ASDEFCON"/>
    <w:basedOn w:val="ASDEFCONNormal"/>
    <w:rsid w:val="00081E29"/>
    <w:pPr>
      <w:keepNext/>
      <w:shd w:val="clear" w:color="auto" w:fill="000000"/>
    </w:pPr>
    <w:rPr>
      <w:b/>
      <w:i/>
      <w:color w:val="FFFFFF"/>
    </w:rPr>
  </w:style>
  <w:style w:type="paragraph" w:customStyle="1" w:styleId="NoteToTenderers-ASDEFCON">
    <w:name w:val="Note To Tenderers - ASDEFCON"/>
    <w:basedOn w:val="ASDEFCONNormal"/>
    <w:rsid w:val="00081E29"/>
    <w:pPr>
      <w:keepNext/>
      <w:shd w:val="pct15" w:color="auto" w:fill="auto"/>
    </w:pPr>
    <w:rPr>
      <w:b/>
      <w:i/>
    </w:rPr>
  </w:style>
  <w:style w:type="paragraph" w:customStyle="1" w:styleId="ASDEFCONTitle">
    <w:name w:val="ASDEFCON Title"/>
    <w:basedOn w:val="ASDEFCONNormal"/>
    <w:rsid w:val="00081E29"/>
    <w:pPr>
      <w:keepLines/>
      <w:spacing w:before="240"/>
      <w:jc w:val="center"/>
    </w:pPr>
    <w:rPr>
      <w:b/>
      <w:caps/>
    </w:rPr>
  </w:style>
  <w:style w:type="paragraph" w:customStyle="1" w:styleId="ATTANNLV1-ASDEFCON">
    <w:name w:val="ATT/ANN LV1 - ASDEFCON"/>
    <w:basedOn w:val="ASDEFCONNormal"/>
    <w:next w:val="ATTANNLV2-ASDEFCON"/>
    <w:rsid w:val="00081E29"/>
    <w:pPr>
      <w:keepNext/>
      <w:keepLines/>
      <w:numPr>
        <w:numId w:val="4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81E29"/>
    <w:pPr>
      <w:numPr>
        <w:ilvl w:val="1"/>
        <w:numId w:val="44"/>
      </w:numPr>
    </w:pPr>
    <w:rPr>
      <w:szCs w:val="24"/>
    </w:rPr>
  </w:style>
  <w:style w:type="character" w:customStyle="1" w:styleId="ATTANNLV2-ASDEFCONChar">
    <w:name w:val="ATT/ANN LV2 - ASDEFCON Char"/>
    <w:link w:val="ATTANNLV2-ASDEFCON"/>
    <w:rsid w:val="00081E29"/>
    <w:rPr>
      <w:rFonts w:ascii="Arial" w:hAnsi="Arial"/>
      <w:color w:val="000000"/>
      <w:szCs w:val="24"/>
    </w:rPr>
  </w:style>
  <w:style w:type="paragraph" w:customStyle="1" w:styleId="ATTANNLV3-ASDEFCON">
    <w:name w:val="ATT/ANN LV3 - ASDEFCON"/>
    <w:basedOn w:val="ASDEFCONNormal"/>
    <w:rsid w:val="00081E29"/>
    <w:pPr>
      <w:numPr>
        <w:ilvl w:val="2"/>
        <w:numId w:val="44"/>
      </w:numPr>
    </w:pPr>
    <w:rPr>
      <w:szCs w:val="24"/>
    </w:rPr>
  </w:style>
  <w:style w:type="paragraph" w:customStyle="1" w:styleId="ATTANNLV4-ASDEFCON">
    <w:name w:val="ATT/ANN LV4 - ASDEFCON"/>
    <w:basedOn w:val="ASDEFCONNormal"/>
    <w:rsid w:val="00081E29"/>
    <w:pPr>
      <w:numPr>
        <w:ilvl w:val="3"/>
        <w:numId w:val="44"/>
      </w:numPr>
    </w:pPr>
    <w:rPr>
      <w:szCs w:val="24"/>
    </w:rPr>
  </w:style>
  <w:style w:type="paragraph" w:customStyle="1" w:styleId="ASDEFCONCoverTitle">
    <w:name w:val="ASDEFCON Cover Title"/>
    <w:rsid w:val="00081E29"/>
    <w:pPr>
      <w:jc w:val="center"/>
    </w:pPr>
    <w:rPr>
      <w:rFonts w:ascii="Georgia" w:hAnsi="Georgia"/>
      <w:b/>
      <w:color w:val="000000"/>
      <w:sz w:val="100"/>
      <w:szCs w:val="24"/>
    </w:rPr>
  </w:style>
  <w:style w:type="paragraph" w:customStyle="1" w:styleId="ASDEFCONHeaderFooterLeft">
    <w:name w:val="ASDEFCON Header/Footer Left"/>
    <w:basedOn w:val="ASDEFCONNormal"/>
    <w:rsid w:val="00081E29"/>
    <w:pPr>
      <w:spacing w:after="0"/>
      <w:jc w:val="left"/>
    </w:pPr>
    <w:rPr>
      <w:sz w:val="16"/>
      <w:szCs w:val="24"/>
    </w:rPr>
  </w:style>
  <w:style w:type="paragraph" w:customStyle="1" w:styleId="ASDEFCONCoverPageIncorp">
    <w:name w:val="ASDEFCON Cover Page Incorp"/>
    <w:rsid w:val="00081E2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81E29"/>
    <w:rPr>
      <w:b/>
      <w:i/>
    </w:rPr>
  </w:style>
  <w:style w:type="paragraph" w:customStyle="1" w:styleId="COTCOCLV2NONUM-ASDEFCON">
    <w:name w:val="COT/COC LV2 NONUM - ASDEFCON"/>
    <w:basedOn w:val="COTCOCLV2-ASDEFCON"/>
    <w:next w:val="COTCOCLV3-ASDEFCON"/>
    <w:rsid w:val="00081E2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81E29"/>
    <w:pPr>
      <w:keepNext w:val="0"/>
      <w:numPr>
        <w:numId w:val="0"/>
      </w:numPr>
      <w:ind w:left="851"/>
    </w:pPr>
    <w:rPr>
      <w:bCs/>
      <w:szCs w:val="20"/>
    </w:rPr>
  </w:style>
  <w:style w:type="paragraph" w:customStyle="1" w:styleId="COTCOCLV3NONUM-ASDEFCON">
    <w:name w:val="COT/COC LV3 NONUM - ASDEFCON"/>
    <w:basedOn w:val="COTCOCLV3-ASDEFCON"/>
    <w:next w:val="COTCOCLV3-ASDEFCON"/>
    <w:rsid w:val="00081E29"/>
    <w:pPr>
      <w:numPr>
        <w:ilvl w:val="0"/>
        <w:numId w:val="0"/>
      </w:numPr>
      <w:ind w:left="851"/>
    </w:pPr>
    <w:rPr>
      <w:szCs w:val="20"/>
    </w:rPr>
  </w:style>
  <w:style w:type="paragraph" w:customStyle="1" w:styleId="COTCOCLV4NONUM-ASDEFCON">
    <w:name w:val="COT/COC LV4 NONUM - ASDEFCON"/>
    <w:basedOn w:val="COTCOCLV4-ASDEFCON"/>
    <w:next w:val="COTCOCLV4-ASDEFCON"/>
    <w:rsid w:val="00081E29"/>
    <w:pPr>
      <w:numPr>
        <w:ilvl w:val="0"/>
        <w:numId w:val="0"/>
      </w:numPr>
      <w:ind w:left="1418"/>
    </w:pPr>
    <w:rPr>
      <w:szCs w:val="20"/>
    </w:rPr>
  </w:style>
  <w:style w:type="paragraph" w:customStyle="1" w:styleId="COTCOCLV5NONUM-ASDEFCON">
    <w:name w:val="COT/COC LV5 NONUM - ASDEFCON"/>
    <w:basedOn w:val="COTCOCLV5-ASDEFCON"/>
    <w:next w:val="COTCOCLV5-ASDEFCON"/>
    <w:rsid w:val="00081E29"/>
    <w:pPr>
      <w:numPr>
        <w:ilvl w:val="0"/>
        <w:numId w:val="0"/>
      </w:numPr>
      <w:ind w:left="1985"/>
    </w:pPr>
    <w:rPr>
      <w:szCs w:val="20"/>
    </w:rPr>
  </w:style>
  <w:style w:type="paragraph" w:customStyle="1" w:styleId="COTCOCLV6NONUM-ASDEFCON">
    <w:name w:val="COT/COC LV6 NONUM - ASDEFCON"/>
    <w:basedOn w:val="COTCOCLV6-ASDEFCON"/>
    <w:next w:val="COTCOCLV6-ASDEFCON"/>
    <w:rsid w:val="00081E29"/>
    <w:pPr>
      <w:numPr>
        <w:ilvl w:val="0"/>
        <w:numId w:val="0"/>
      </w:numPr>
      <w:ind w:left="2552"/>
    </w:pPr>
    <w:rPr>
      <w:szCs w:val="20"/>
    </w:rPr>
  </w:style>
  <w:style w:type="paragraph" w:customStyle="1" w:styleId="ATTANNLV1NONUM-ASDEFCON">
    <w:name w:val="ATT/ANN LV1 NONUM - ASDEFCON"/>
    <w:basedOn w:val="ATTANNLV1-ASDEFCON"/>
    <w:next w:val="ATTANNLV2-ASDEFCON"/>
    <w:rsid w:val="00081E29"/>
    <w:pPr>
      <w:numPr>
        <w:numId w:val="0"/>
      </w:numPr>
      <w:ind w:left="851"/>
    </w:pPr>
    <w:rPr>
      <w:bCs/>
      <w:szCs w:val="20"/>
    </w:rPr>
  </w:style>
  <w:style w:type="paragraph" w:customStyle="1" w:styleId="ATTANNLV2NONUM-ASDEFCON">
    <w:name w:val="ATT/ANN LV2 NONUM - ASDEFCON"/>
    <w:basedOn w:val="ATTANNLV2-ASDEFCON"/>
    <w:next w:val="ATTANNLV2-ASDEFCON"/>
    <w:rsid w:val="00081E29"/>
    <w:pPr>
      <w:numPr>
        <w:ilvl w:val="0"/>
        <w:numId w:val="0"/>
      </w:numPr>
      <w:ind w:left="851"/>
    </w:pPr>
    <w:rPr>
      <w:szCs w:val="20"/>
    </w:rPr>
  </w:style>
  <w:style w:type="paragraph" w:customStyle="1" w:styleId="ATTANNLV3NONUM-ASDEFCON">
    <w:name w:val="ATT/ANN LV3 NONUM - ASDEFCON"/>
    <w:basedOn w:val="ATTANNLV3-ASDEFCON"/>
    <w:next w:val="ATTANNLV3-ASDEFCON"/>
    <w:rsid w:val="00081E29"/>
    <w:pPr>
      <w:numPr>
        <w:ilvl w:val="0"/>
        <w:numId w:val="0"/>
      </w:numPr>
      <w:ind w:left="1418"/>
    </w:pPr>
    <w:rPr>
      <w:szCs w:val="20"/>
    </w:rPr>
  </w:style>
  <w:style w:type="paragraph" w:customStyle="1" w:styleId="ATTANNLV4NONUM-ASDEFCON">
    <w:name w:val="ATT/ANN LV4 NONUM - ASDEFCON"/>
    <w:basedOn w:val="ATTANNLV4-ASDEFCON"/>
    <w:next w:val="ATTANNLV4-ASDEFCON"/>
    <w:rsid w:val="00081E29"/>
    <w:pPr>
      <w:numPr>
        <w:ilvl w:val="0"/>
        <w:numId w:val="0"/>
      </w:numPr>
      <w:ind w:left="1985"/>
    </w:pPr>
    <w:rPr>
      <w:szCs w:val="20"/>
    </w:rPr>
  </w:style>
  <w:style w:type="paragraph" w:customStyle="1" w:styleId="NoteToDraftersBullets-ASDEFCON">
    <w:name w:val="Note To Drafters Bullets - ASDEFCON"/>
    <w:basedOn w:val="NoteToDrafters-ASDEFCON"/>
    <w:rsid w:val="00081E29"/>
    <w:pPr>
      <w:numPr>
        <w:numId w:val="15"/>
      </w:numPr>
    </w:pPr>
    <w:rPr>
      <w:bCs/>
      <w:iCs/>
      <w:szCs w:val="20"/>
    </w:rPr>
  </w:style>
  <w:style w:type="paragraph" w:customStyle="1" w:styleId="NoteToDraftersList-ASDEFCON">
    <w:name w:val="Note To Drafters List - ASDEFCON"/>
    <w:basedOn w:val="NoteToDrafters-ASDEFCON"/>
    <w:rsid w:val="00081E29"/>
    <w:pPr>
      <w:numPr>
        <w:numId w:val="16"/>
      </w:numPr>
    </w:pPr>
    <w:rPr>
      <w:bCs/>
      <w:iCs/>
      <w:szCs w:val="20"/>
    </w:rPr>
  </w:style>
  <w:style w:type="paragraph" w:customStyle="1" w:styleId="NoteToTenderersBullets-ASDEFCON">
    <w:name w:val="Note To Tenderers Bullets - ASDEFCON"/>
    <w:basedOn w:val="NoteToTenderers-ASDEFCON"/>
    <w:rsid w:val="00081E29"/>
    <w:pPr>
      <w:numPr>
        <w:numId w:val="17"/>
      </w:numPr>
    </w:pPr>
    <w:rPr>
      <w:bCs/>
      <w:iCs/>
      <w:szCs w:val="20"/>
    </w:rPr>
  </w:style>
  <w:style w:type="paragraph" w:customStyle="1" w:styleId="NoteToTenderersList-ASDEFCON">
    <w:name w:val="Note To Tenderers List - ASDEFCON"/>
    <w:basedOn w:val="NoteToTenderers-ASDEFCON"/>
    <w:rsid w:val="00081E29"/>
    <w:pPr>
      <w:numPr>
        <w:numId w:val="18"/>
      </w:numPr>
    </w:pPr>
    <w:rPr>
      <w:bCs/>
      <w:iCs/>
      <w:szCs w:val="20"/>
    </w:rPr>
  </w:style>
  <w:style w:type="paragraph" w:customStyle="1" w:styleId="SOWHL1-ASDEFCON">
    <w:name w:val="SOW HL1 - ASDEFCON"/>
    <w:basedOn w:val="ASDEFCONNormal"/>
    <w:next w:val="SOWHL2-ASDEFCON"/>
    <w:qFormat/>
    <w:rsid w:val="00081E29"/>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81E29"/>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81E29"/>
    <w:pPr>
      <w:keepNext/>
      <w:numPr>
        <w:ilvl w:val="2"/>
        <w:numId w:val="6"/>
      </w:numPr>
    </w:pPr>
    <w:rPr>
      <w:rFonts w:eastAsia="Calibri"/>
      <w:b/>
      <w:szCs w:val="22"/>
      <w:lang w:eastAsia="en-US"/>
    </w:rPr>
  </w:style>
  <w:style w:type="paragraph" w:customStyle="1" w:styleId="SOWHL4-ASDEFCON">
    <w:name w:val="SOW HL4 - ASDEFCON"/>
    <w:basedOn w:val="ASDEFCONNormal"/>
    <w:qFormat/>
    <w:rsid w:val="00081E29"/>
    <w:pPr>
      <w:keepNext/>
      <w:numPr>
        <w:ilvl w:val="3"/>
        <w:numId w:val="6"/>
      </w:numPr>
    </w:pPr>
    <w:rPr>
      <w:rFonts w:eastAsia="Calibri"/>
      <w:b/>
      <w:szCs w:val="22"/>
      <w:lang w:eastAsia="en-US"/>
    </w:rPr>
  </w:style>
  <w:style w:type="paragraph" w:customStyle="1" w:styleId="SOWHL5-ASDEFCON">
    <w:name w:val="SOW HL5 - ASDEFCON"/>
    <w:basedOn w:val="ASDEFCONNormal"/>
    <w:qFormat/>
    <w:rsid w:val="00081E29"/>
    <w:pPr>
      <w:keepNext/>
      <w:numPr>
        <w:ilvl w:val="4"/>
        <w:numId w:val="6"/>
      </w:numPr>
    </w:pPr>
    <w:rPr>
      <w:rFonts w:eastAsia="Calibri"/>
      <w:b/>
      <w:szCs w:val="22"/>
      <w:lang w:eastAsia="en-US"/>
    </w:rPr>
  </w:style>
  <w:style w:type="paragraph" w:customStyle="1" w:styleId="SOWSubL1-ASDEFCON">
    <w:name w:val="SOW SubL1 - ASDEFCON"/>
    <w:basedOn w:val="ASDEFCONNormal"/>
    <w:qFormat/>
    <w:rsid w:val="00081E29"/>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081E2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81E29"/>
    <w:pPr>
      <w:numPr>
        <w:ilvl w:val="0"/>
        <w:numId w:val="0"/>
      </w:numPr>
      <w:ind w:left="1134"/>
    </w:pPr>
    <w:rPr>
      <w:rFonts w:eastAsia="Times New Roman"/>
      <w:bCs/>
      <w:szCs w:val="20"/>
    </w:rPr>
  </w:style>
  <w:style w:type="paragraph" w:customStyle="1" w:styleId="SOWTL2-ASDEFCON">
    <w:name w:val="SOW TL2 - ASDEFCON"/>
    <w:basedOn w:val="SOWHL2-ASDEFCON"/>
    <w:rsid w:val="00081E29"/>
    <w:pPr>
      <w:keepNext w:val="0"/>
      <w:pBdr>
        <w:bottom w:val="none" w:sz="0" w:space="0" w:color="auto"/>
      </w:pBdr>
    </w:pPr>
    <w:rPr>
      <w:b w:val="0"/>
    </w:rPr>
  </w:style>
  <w:style w:type="paragraph" w:customStyle="1" w:styleId="SOWTL3NONUM-ASDEFCON">
    <w:name w:val="SOW TL3 NONUM - ASDEFCON"/>
    <w:basedOn w:val="SOWTL3-ASDEFCON"/>
    <w:next w:val="SOWTL3-ASDEFCON"/>
    <w:rsid w:val="00081E29"/>
    <w:pPr>
      <w:numPr>
        <w:ilvl w:val="0"/>
        <w:numId w:val="0"/>
      </w:numPr>
      <w:ind w:left="1134"/>
    </w:pPr>
    <w:rPr>
      <w:rFonts w:eastAsia="Times New Roman"/>
      <w:bCs/>
      <w:szCs w:val="20"/>
    </w:rPr>
  </w:style>
  <w:style w:type="paragraph" w:customStyle="1" w:styleId="SOWTL3-ASDEFCON">
    <w:name w:val="SOW TL3 - ASDEFCON"/>
    <w:basedOn w:val="SOWHL3-ASDEFCON"/>
    <w:rsid w:val="00081E29"/>
    <w:pPr>
      <w:keepNext w:val="0"/>
    </w:pPr>
    <w:rPr>
      <w:b w:val="0"/>
    </w:rPr>
  </w:style>
  <w:style w:type="paragraph" w:customStyle="1" w:styleId="SOWTL4NONUM-ASDEFCON">
    <w:name w:val="SOW TL4 NONUM - ASDEFCON"/>
    <w:basedOn w:val="SOWTL4-ASDEFCON"/>
    <w:next w:val="SOWTL4-ASDEFCON"/>
    <w:rsid w:val="00081E29"/>
    <w:pPr>
      <w:numPr>
        <w:ilvl w:val="0"/>
        <w:numId w:val="0"/>
      </w:numPr>
      <w:ind w:left="1134"/>
    </w:pPr>
    <w:rPr>
      <w:rFonts w:eastAsia="Times New Roman"/>
      <w:bCs/>
      <w:szCs w:val="20"/>
    </w:rPr>
  </w:style>
  <w:style w:type="paragraph" w:customStyle="1" w:styleId="SOWTL4-ASDEFCON">
    <w:name w:val="SOW TL4 - ASDEFCON"/>
    <w:basedOn w:val="SOWHL4-ASDEFCON"/>
    <w:rsid w:val="00081E29"/>
    <w:pPr>
      <w:keepNext w:val="0"/>
    </w:pPr>
    <w:rPr>
      <w:b w:val="0"/>
    </w:rPr>
  </w:style>
  <w:style w:type="paragraph" w:customStyle="1" w:styleId="SOWTL5NONUM-ASDEFCON">
    <w:name w:val="SOW TL5 NONUM - ASDEFCON"/>
    <w:basedOn w:val="SOWHL5-ASDEFCON"/>
    <w:next w:val="SOWTL5-ASDEFCON"/>
    <w:rsid w:val="00081E29"/>
    <w:pPr>
      <w:keepNext w:val="0"/>
      <w:numPr>
        <w:ilvl w:val="0"/>
        <w:numId w:val="0"/>
      </w:numPr>
      <w:ind w:left="1134"/>
    </w:pPr>
    <w:rPr>
      <w:b w:val="0"/>
    </w:rPr>
  </w:style>
  <w:style w:type="paragraph" w:customStyle="1" w:styleId="SOWTL5-ASDEFCON">
    <w:name w:val="SOW TL5 - ASDEFCON"/>
    <w:basedOn w:val="SOWHL5-ASDEFCON"/>
    <w:rsid w:val="00081E29"/>
    <w:pPr>
      <w:keepNext w:val="0"/>
    </w:pPr>
    <w:rPr>
      <w:b w:val="0"/>
    </w:rPr>
  </w:style>
  <w:style w:type="paragraph" w:customStyle="1" w:styleId="SOWSubL2-ASDEFCON">
    <w:name w:val="SOW SubL2 - ASDEFCON"/>
    <w:basedOn w:val="ASDEFCONNormal"/>
    <w:qFormat/>
    <w:rsid w:val="00081E29"/>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081E29"/>
    <w:pPr>
      <w:numPr>
        <w:numId w:val="0"/>
      </w:numPr>
      <w:ind w:left="1701"/>
    </w:pPr>
  </w:style>
  <w:style w:type="paragraph" w:customStyle="1" w:styleId="SOWSubL2NONUM-ASDEFCON">
    <w:name w:val="SOW SubL2 NONUM - ASDEFCON"/>
    <w:basedOn w:val="SOWSubL2-ASDEFCON"/>
    <w:next w:val="SOWSubL2-ASDEFCON"/>
    <w:qFormat/>
    <w:rsid w:val="00081E29"/>
    <w:pPr>
      <w:numPr>
        <w:ilvl w:val="0"/>
        <w:numId w:val="0"/>
      </w:numPr>
      <w:ind w:left="2268"/>
    </w:pPr>
  </w:style>
  <w:style w:type="paragraph" w:customStyle="1" w:styleId="ASDEFCONTextBlock">
    <w:name w:val="ASDEFCON TextBlock"/>
    <w:basedOn w:val="ASDEFCONNormal"/>
    <w:qFormat/>
    <w:rsid w:val="00081E2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81E29"/>
    <w:pPr>
      <w:numPr>
        <w:numId w:val="1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81E29"/>
    <w:pPr>
      <w:keepNext/>
      <w:spacing w:before="240"/>
    </w:pPr>
    <w:rPr>
      <w:rFonts w:ascii="Arial Bold" w:hAnsi="Arial Bold"/>
      <w:b/>
      <w:bCs/>
      <w:caps/>
      <w:szCs w:val="20"/>
    </w:rPr>
  </w:style>
  <w:style w:type="paragraph" w:customStyle="1" w:styleId="Table8ptHeading-ASDEFCON">
    <w:name w:val="Table 8pt Heading - ASDEFCON"/>
    <w:basedOn w:val="ASDEFCONNormal"/>
    <w:rsid w:val="00081E2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81E29"/>
    <w:pPr>
      <w:numPr>
        <w:numId w:val="2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81E29"/>
    <w:pPr>
      <w:numPr>
        <w:numId w:val="2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81E29"/>
    <w:rPr>
      <w:rFonts w:ascii="Arial" w:eastAsia="Calibri" w:hAnsi="Arial"/>
      <w:color w:val="000000"/>
      <w:szCs w:val="22"/>
      <w:lang w:eastAsia="en-US"/>
    </w:rPr>
  </w:style>
  <w:style w:type="paragraph" w:customStyle="1" w:styleId="Table8ptSub1-ASDEFCON">
    <w:name w:val="Table 8pt Sub1 - ASDEFCON"/>
    <w:basedOn w:val="Table8ptText-ASDEFCON"/>
    <w:rsid w:val="00081E29"/>
    <w:pPr>
      <w:numPr>
        <w:ilvl w:val="1"/>
      </w:numPr>
    </w:pPr>
  </w:style>
  <w:style w:type="paragraph" w:customStyle="1" w:styleId="Table8ptSub2-ASDEFCON">
    <w:name w:val="Table 8pt Sub2 - ASDEFCON"/>
    <w:basedOn w:val="Table8ptText-ASDEFCON"/>
    <w:rsid w:val="00081E29"/>
    <w:pPr>
      <w:numPr>
        <w:ilvl w:val="2"/>
      </w:numPr>
    </w:pPr>
  </w:style>
  <w:style w:type="paragraph" w:customStyle="1" w:styleId="Table10ptHeading-ASDEFCON">
    <w:name w:val="Table 10pt Heading - ASDEFCON"/>
    <w:basedOn w:val="ASDEFCONNormal"/>
    <w:rsid w:val="00081E29"/>
    <w:pPr>
      <w:keepNext/>
      <w:spacing w:before="60" w:after="60"/>
      <w:jc w:val="center"/>
    </w:pPr>
    <w:rPr>
      <w:b/>
    </w:rPr>
  </w:style>
  <w:style w:type="paragraph" w:customStyle="1" w:styleId="Table8ptBP1-ASDEFCON">
    <w:name w:val="Table 8pt BP1 - ASDEFCON"/>
    <w:basedOn w:val="Table8ptText-ASDEFCON"/>
    <w:rsid w:val="00081E29"/>
    <w:pPr>
      <w:numPr>
        <w:numId w:val="20"/>
      </w:numPr>
    </w:pPr>
  </w:style>
  <w:style w:type="paragraph" w:customStyle="1" w:styleId="Table8ptBP2-ASDEFCON">
    <w:name w:val="Table 8pt BP2 - ASDEFCON"/>
    <w:basedOn w:val="Table8ptText-ASDEFCON"/>
    <w:rsid w:val="00081E29"/>
    <w:pPr>
      <w:numPr>
        <w:ilvl w:val="1"/>
        <w:numId w:val="20"/>
      </w:numPr>
      <w:tabs>
        <w:tab w:val="clear" w:pos="284"/>
      </w:tabs>
    </w:pPr>
    <w:rPr>
      <w:iCs/>
    </w:rPr>
  </w:style>
  <w:style w:type="paragraph" w:customStyle="1" w:styleId="ASDEFCONBulletsLV1">
    <w:name w:val="ASDEFCON Bullets LV1"/>
    <w:basedOn w:val="ASDEFCONNormal"/>
    <w:rsid w:val="00081E29"/>
    <w:pPr>
      <w:numPr>
        <w:numId w:val="22"/>
      </w:numPr>
    </w:pPr>
    <w:rPr>
      <w:rFonts w:eastAsia="Calibri"/>
      <w:szCs w:val="22"/>
      <w:lang w:eastAsia="en-US"/>
    </w:rPr>
  </w:style>
  <w:style w:type="paragraph" w:customStyle="1" w:styleId="Table10ptSub1-ASDEFCON">
    <w:name w:val="Table 10pt Sub1 - ASDEFCON"/>
    <w:basedOn w:val="Table10ptText-ASDEFCON"/>
    <w:rsid w:val="00081E29"/>
    <w:pPr>
      <w:numPr>
        <w:ilvl w:val="1"/>
      </w:numPr>
      <w:jc w:val="both"/>
    </w:pPr>
  </w:style>
  <w:style w:type="paragraph" w:customStyle="1" w:styleId="Table10ptSub2-ASDEFCON">
    <w:name w:val="Table 10pt Sub2 - ASDEFCON"/>
    <w:basedOn w:val="Table10ptText-ASDEFCON"/>
    <w:rsid w:val="00081E29"/>
    <w:pPr>
      <w:numPr>
        <w:ilvl w:val="2"/>
      </w:numPr>
      <w:jc w:val="both"/>
    </w:pPr>
  </w:style>
  <w:style w:type="paragraph" w:customStyle="1" w:styleId="ASDEFCONBulletsLV2">
    <w:name w:val="ASDEFCON Bullets LV2"/>
    <w:basedOn w:val="ASDEFCONNormal"/>
    <w:rsid w:val="00081E29"/>
    <w:pPr>
      <w:numPr>
        <w:numId w:val="10"/>
      </w:numPr>
    </w:pPr>
  </w:style>
  <w:style w:type="paragraph" w:customStyle="1" w:styleId="Table10ptBP1-ASDEFCON">
    <w:name w:val="Table 10pt BP1 - ASDEFCON"/>
    <w:basedOn w:val="ASDEFCONNormal"/>
    <w:rsid w:val="00081E29"/>
    <w:pPr>
      <w:numPr>
        <w:numId w:val="26"/>
      </w:numPr>
      <w:spacing w:before="60" w:after="60"/>
    </w:pPr>
  </w:style>
  <w:style w:type="paragraph" w:customStyle="1" w:styleId="Table10ptBP2-ASDEFCON">
    <w:name w:val="Table 10pt BP2 - ASDEFCON"/>
    <w:basedOn w:val="ASDEFCONNormal"/>
    <w:link w:val="Table10ptBP2-ASDEFCONCharChar"/>
    <w:rsid w:val="00081E29"/>
    <w:pPr>
      <w:numPr>
        <w:ilvl w:val="1"/>
        <w:numId w:val="26"/>
      </w:numPr>
      <w:spacing w:before="60" w:after="60"/>
    </w:pPr>
  </w:style>
  <w:style w:type="character" w:customStyle="1" w:styleId="Table10ptBP2-ASDEFCONCharChar">
    <w:name w:val="Table 10pt BP2 - ASDEFCON Char Char"/>
    <w:link w:val="Table10ptBP2-ASDEFCON"/>
    <w:rsid w:val="00081E29"/>
    <w:rPr>
      <w:rFonts w:ascii="Arial" w:hAnsi="Arial"/>
      <w:color w:val="000000"/>
      <w:szCs w:val="40"/>
    </w:rPr>
  </w:style>
  <w:style w:type="paragraph" w:customStyle="1" w:styleId="GuideMarginHead-ASDEFCON">
    <w:name w:val="Guide Margin Head - ASDEFCON"/>
    <w:basedOn w:val="ASDEFCONNormal"/>
    <w:rsid w:val="00081E2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81E29"/>
    <w:pPr>
      <w:ind w:left="1680"/>
    </w:pPr>
    <w:rPr>
      <w:lang w:eastAsia="en-US"/>
    </w:rPr>
  </w:style>
  <w:style w:type="paragraph" w:customStyle="1" w:styleId="GuideSublistLv1-ASDEFCON">
    <w:name w:val="Guide Sublist Lv1 - ASDEFCON"/>
    <w:basedOn w:val="ASDEFCONNormal"/>
    <w:qFormat/>
    <w:rsid w:val="00081E29"/>
    <w:pPr>
      <w:numPr>
        <w:numId w:val="30"/>
      </w:numPr>
    </w:pPr>
    <w:rPr>
      <w:rFonts w:eastAsia="Calibri"/>
      <w:szCs w:val="22"/>
      <w:lang w:eastAsia="en-US"/>
    </w:rPr>
  </w:style>
  <w:style w:type="paragraph" w:customStyle="1" w:styleId="GuideBullets-ASDEFCON">
    <w:name w:val="Guide Bullets - ASDEFCON"/>
    <w:basedOn w:val="ASDEFCONNormal"/>
    <w:rsid w:val="00081E29"/>
    <w:pPr>
      <w:numPr>
        <w:ilvl w:val="6"/>
        <w:numId w:val="21"/>
      </w:numPr>
    </w:pPr>
    <w:rPr>
      <w:rFonts w:eastAsia="Calibri"/>
      <w:szCs w:val="22"/>
      <w:lang w:eastAsia="en-US"/>
    </w:rPr>
  </w:style>
  <w:style w:type="paragraph" w:customStyle="1" w:styleId="GuideLV2Head-ASDEFCON">
    <w:name w:val="Guide LV2 Head - ASDEFCON"/>
    <w:basedOn w:val="ASDEFCONNormal"/>
    <w:next w:val="GuideText-ASDEFCON"/>
    <w:rsid w:val="00081E2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81E29"/>
    <w:pPr>
      <w:keepNext/>
      <w:spacing w:before="240"/>
    </w:pPr>
    <w:rPr>
      <w:rFonts w:eastAsia="Calibri"/>
      <w:b/>
      <w:caps/>
      <w:szCs w:val="20"/>
      <w:lang w:eastAsia="en-US"/>
    </w:rPr>
  </w:style>
  <w:style w:type="paragraph" w:customStyle="1" w:styleId="ASDEFCONSublist">
    <w:name w:val="ASDEFCON Sublist"/>
    <w:basedOn w:val="ASDEFCONNormal"/>
    <w:rsid w:val="00081E29"/>
    <w:pPr>
      <w:numPr>
        <w:numId w:val="31"/>
      </w:numPr>
    </w:pPr>
    <w:rPr>
      <w:iCs/>
    </w:rPr>
  </w:style>
  <w:style w:type="paragraph" w:customStyle="1" w:styleId="ASDEFCONRecitals">
    <w:name w:val="ASDEFCON Recitals"/>
    <w:basedOn w:val="ASDEFCONNormal"/>
    <w:link w:val="ASDEFCONRecitalsCharChar"/>
    <w:rsid w:val="00081E29"/>
    <w:pPr>
      <w:numPr>
        <w:numId w:val="23"/>
      </w:numPr>
    </w:pPr>
  </w:style>
  <w:style w:type="character" w:customStyle="1" w:styleId="ASDEFCONRecitalsCharChar">
    <w:name w:val="ASDEFCON Recitals Char Char"/>
    <w:link w:val="ASDEFCONRecitals"/>
    <w:rsid w:val="00081E29"/>
    <w:rPr>
      <w:rFonts w:ascii="Arial" w:hAnsi="Arial"/>
      <w:color w:val="000000"/>
      <w:szCs w:val="40"/>
    </w:rPr>
  </w:style>
  <w:style w:type="paragraph" w:customStyle="1" w:styleId="NoteList-ASDEFCON">
    <w:name w:val="Note List - ASDEFCON"/>
    <w:basedOn w:val="ASDEFCONNormal"/>
    <w:rsid w:val="00081E29"/>
    <w:pPr>
      <w:numPr>
        <w:numId w:val="24"/>
      </w:numPr>
    </w:pPr>
    <w:rPr>
      <w:b/>
      <w:bCs/>
      <w:i/>
    </w:rPr>
  </w:style>
  <w:style w:type="paragraph" w:customStyle="1" w:styleId="NoteBullets-ASDEFCON">
    <w:name w:val="Note Bullets - ASDEFCON"/>
    <w:basedOn w:val="ASDEFCONNormal"/>
    <w:rsid w:val="00081E29"/>
    <w:pPr>
      <w:numPr>
        <w:numId w:val="25"/>
      </w:numPr>
    </w:pPr>
    <w:rPr>
      <w:b/>
      <w:i/>
    </w:rPr>
  </w:style>
  <w:style w:type="paragraph" w:styleId="Caption">
    <w:name w:val="caption"/>
    <w:basedOn w:val="Normal"/>
    <w:next w:val="Normal"/>
    <w:qFormat/>
    <w:rsid w:val="00081E29"/>
    <w:rPr>
      <w:b/>
      <w:bCs/>
      <w:szCs w:val="20"/>
    </w:rPr>
  </w:style>
  <w:style w:type="paragraph" w:customStyle="1" w:styleId="ASDEFCONOperativePartListLV1">
    <w:name w:val="ASDEFCON Operative Part List LV1"/>
    <w:basedOn w:val="ASDEFCONNormal"/>
    <w:rsid w:val="00081E29"/>
    <w:pPr>
      <w:numPr>
        <w:numId w:val="27"/>
      </w:numPr>
    </w:pPr>
    <w:rPr>
      <w:iCs/>
    </w:rPr>
  </w:style>
  <w:style w:type="paragraph" w:customStyle="1" w:styleId="ASDEFCONOperativePartListLV2">
    <w:name w:val="ASDEFCON Operative Part List LV2"/>
    <w:basedOn w:val="ASDEFCONOperativePartListLV1"/>
    <w:rsid w:val="00081E29"/>
    <w:pPr>
      <w:numPr>
        <w:ilvl w:val="1"/>
      </w:numPr>
    </w:pPr>
  </w:style>
  <w:style w:type="paragraph" w:customStyle="1" w:styleId="ASDEFCONOptionSpace">
    <w:name w:val="ASDEFCON Option Space"/>
    <w:basedOn w:val="ASDEFCONNormal"/>
    <w:rsid w:val="00081E29"/>
    <w:pPr>
      <w:spacing w:after="0"/>
    </w:pPr>
    <w:rPr>
      <w:bCs/>
      <w:color w:val="FFFFFF"/>
      <w:sz w:val="8"/>
    </w:rPr>
  </w:style>
  <w:style w:type="paragraph" w:customStyle="1" w:styleId="ATTANNReferencetoCOC">
    <w:name w:val="ATT/ANN Reference to COC"/>
    <w:basedOn w:val="ASDEFCONNormal"/>
    <w:rsid w:val="00081E29"/>
    <w:pPr>
      <w:keepNext/>
      <w:jc w:val="right"/>
    </w:pPr>
    <w:rPr>
      <w:i/>
      <w:iCs/>
      <w:szCs w:val="20"/>
    </w:rPr>
  </w:style>
  <w:style w:type="paragraph" w:customStyle="1" w:styleId="ASDEFCONHeaderFooterCenter">
    <w:name w:val="ASDEFCON Header/Footer Center"/>
    <w:basedOn w:val="ASDEFCONHeaderFooterLeft"/>
    <w:rsid w:val="00081E29"/>
    <w:pPr>
      <w:jc w:val="center"/>
    </w:pPr>
    <w:rPr>
      <w:szCs w:val="20"/>
    </w:rPr>
  </w:style>
  <w:style w:type="paragraph" w:customStyle="1" w:styleId="ASDEFCONHeaderFooterRight">
    <w:name w:val="ASDEFCON Header/Footer Right"/>
    <w:basedOn w:val="ASDEFCONHeaderFooterLeft"/>
    <w:rsid w:val="00081E29"/>
    <w:pPr>
      <w:jc w:val="right"/>
    </w:pPr>
    <w:rPr>
      <w:szCs w:val="20"/>
    </w:rPr>
  </w:style>
  <w:style w:type="paragraph" w:customStyle="1" w:styleId="ASDEFCONHeaderFooterClassification">
    <w:name w:val="ASDEFCON Header/Footer Classification"/>
    <w:basedOn w:val="ASDEFCONHeaderFooterLeft"/>
    <w:rsid w:val="00081E29"/>
    <w:pPr>
      <w:jc w:val="center"/>
    </w:pPr>
    <w:rPr>
      <w:rFonts w:ascii="Arial Bold" w:hAnsi="Arial Bold"/>
      <w:b/>
      <w:bCs/>
      <w:caps/>
      <w:sz w:val="20"/>
    </w:rPr>
  </w:style>
  <w:style w:type="paragraph" w:customStyle="1" w:styleId="GuideLV3Head-ASDEFCON">
    <w:name w:val="Guide LV3 Head - ASDEFCON"/>
    <w:basedOn w:val="ASDEFCONNormal"/>
    <w:rsid w:val="00081E29"/>
    <w:pPr>
      <w:keepNext/>
    </w:pPr>
    <w:rPr>
      <w:rFonts w:eastAsia="Calibri"/>
      <w:b/>
      <w:szCs w:val="22"/>
      <w:lang w:eastAsia="en-US"/>
    </w:rPr>
  </w:style>
  <w:style w:type="paragraph" w:customStyle="1" w:styleId="GuideSublistLv2-ASDEFCON">
    <w:name w:val="Guide Sublist Lv2 - ASDEFCON"/>
    <w:basedOn w:val="ASDEFCONNormal"/>
    <w:rsid w:val="00081E29"/>
    <w:pPr>
      <w:numPr>
        <w:ilvl w:val="1"/>
        <w:numId w:val="30"/>
      </w:numPr>
    </w:pPr>
  </w:style>
  <w:style w:type="paragraph" w:customStyle="1" w:styleId="ASDEFCONList">
    <w:name w:val="ASDEFCON List"/>
    <w:basedOn w:val="ASDEFCONNormal"/>
    <w:qFormat/>
    <w:rsid w:val="00081E29"/>
    <w:pPr>
      <w:numPr>
        <w:numId w:val="32"/>
      </w:numPr>
    </w:pPr>
  </w:style>
  <w:style w:type="paragraph" w:styleId="TOCHeading">
    <w:name w:val="TOC Heading"/>
    <w:basedOn w:val="Heading1"/>
    <w:next w:val="Normal"/>
    <w:uiPriority w:val="39"/>
    <w:semiHidden/>
    <w:unhideWhenUsed/>
    <w:qFormat/>
    <w:rsid w:val="00B14924"/>
    <w:pPr>
      <w:keepLines/>
      <w:spacing w:before="480" w:after="0"/>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668838">
      <w:bodyDiv w:val="1"/>
      <w:marLeft w:val="0"/>
      <w:marRight w:val="0"/>
      <w:marTop w:val="0"/>
      <w:marBottom w:val="0"/>
      <w:divBdr>
        <w:top w:val="none" w:sz="0" w:space="0" w:color="auto"/>
        <w:left w:val="none" w:sz="0" w:space="0" w:color="auto"/>
        <w:bottom w:val="none" w:sz="0" w:space="0" w:color="auto"/>
        <w:right w:val="none" w:sz="0" w:space="0" w:color="auto"/>
      </w:divBdr>
      <w:divsChild>
        <w:div w:id="59058760">
          <w:marLeft w:val="0"/>
          <w:marRight w:val="0"/>
          <w:marTop w:val="0"/>
          <w:marBottom w:val="0"/>
          <w:divBdr>
            <w:top w:val="none" w:sz="0" w:space="0" w:color="auto"/>
            <w:left w:val="none" w:sz="0" w:space="0" w:color="auto"/>
            <w:bottom w:val="none" w:sz="0" w:space="0" w:color="auto"/>
            <w:right w:val="none" w:sz="0" w:space="0" w:color="auto"/>
          </w:divBdr>
        </w:div>
      </w:divsChild>
    </w:div>
    <w:div w:id="846022839">
      <w:bodyDiv w:val="1"/>
      <w:marLeft w:val="0"/>
      <w:marRight w:val="0"/>
      <w:marTop w:val="0"/>
      <w:marBottom w:val="0"/>
      <w:divBdr>
        <w:top w:val="none" w:sz="0" w:space="0" w:color="auto"/>
        <w:left w:val="none" w:sz="0" w:space="0" w:color="auto"/>
        <w:bottom w:val="none" w:sz="0" w:space="0" w:color="auto"/>
        <w:right w:val="none" w:sz="0" w:space="0" w:color="auto"/>
      </w:divBdr>
      <w:divsChild>
        <w:div w:id="266475172">
          <w:marLeft w:val="0"/>
          <w:marRight w:val="0"/>
          <w:marTop w:val="0"/>
          <w:marBottom w:val="0"/>
          <w:divBdr>
            <w:top w:val="none" w:sz="0" w:space="0" w:color="auto"/>
            <w:left w:val="none" w:sz="0" w:space="0" w:color="auto"/>
            <w:bottom w:val="none" w:sz="0" w:space="0" w:color="auto"/>
            <w:right w:val="none" w:sz="0" w:space="0" w:color="auto"/>
          </w:divBdr>
        </w:div>
      </w:divsChild>
    </w:div>
    <w:div w:id="2126190160">
      <w:bodyDiv w:val="1"/>
      <w:marLeft w:val="0"/>
      <w:marRight w:val="0"/>
      <w:marTop w:val="0"/>
      <w:marBottom w:val="0"/>
      <w:divBdr>
        <w:top w:val="none" w:sz="0" w:space="0" w:color="auto"/>
        <w:left w:val="none" w:sz="0" w:space="0" w:color="auto"/>
        <w:bottom w:val="none" w:sz="0" w:space="0" w:color="auto"/>
        <w:right w:val="none" w:sz="0" w:space="0" w:color="auto"/>
      </w:divBdr>
      <w:divsChild>
        <w:div w:id="1475945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ASDEFCON@defence.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defconsow.support@defence.gov.au"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C4459-45A9-45EB-A8C1-4B5798E63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606</TotalTime>
  <Pages>13</Pages>
  <Words>6223</Words>
  <Characters>33978</Characters>
  <Application>Microsoft Office Word</Application>
  <DocSecurity>0</DocSecurity>
  <Lines>283</Lines>
  <Paragraphs>80</Paragraphs>
  <ScaleCrop>false</ScaleCrop>
  <HeadingPairs>
    <vt:vector size="2" baseType="variant">
      <vt:variant>
        <vt:lpstr>Title</vt:lpstr>
      </vt:variant>
      <vt:variant>
        <vt:i4>1</vt:i4>
      </vt:variant>
    </vt:vector>
  </HeadingPairs>
  <TitlesOfParts>
    <vt:vector size="1" baseType="lpstr">
      <vt:lpstr>Customising ASDEFCON (Support) for CSC</vt:lpstr>
    </vt:vector>
  </TitlesOfParts>
  <Manager>ASDEFCON SOW Policy, CASG</Manager>
  <Company>Defence</Company>
  <LinksUpToDate>false</LinksUpToDate>
  <CharactersWithSpaces>40121</CharactersWithSpaces>
  <SharedDoc>false</SharedDoc>
  <HLinks>
    <vt:vector size="174" baseType="variant">
      <vt:variant>
        <vt:i4>720939</vt:i4>
      </vt:variant>
      <vt:variant>
        <vt:i4>204</vt:i4>
      </vt:variant>
      <vt:variant>
        <vt:i4>0</vt:i4>
      </vt:variant>
      <vt:variant>
        <vt:i4>5</vt:i4>
      </vt:variant>
      <vt:variant>
        <vt:lpwstr>mailto:asdefconsow.support@defence.gov.au</vt:lpwstr>
      </vt:variant>
      <vt:variant>
        <vt:lpwstr/>
      </vt:variant>
      <vt:variant>
        <vt:i4>4784230</vt:i4>
      </vt:variant>
      <vt:variant>
        <vt:i4>201</vt:i4>
      </vt:variant>
      <vt:variant>
        <vt:i4>0</vt:i4>
      </vt:variant>
      <vt:variant>
        <vt:i4>5</vt:i4>
      </vt:variant>
      <vt:variant>
        <vt:lpwstr>mailto:procurement.ASDEFCON@defence.gov.au</vt:lpwstr>
      </vt:variant>
      <vt:variant>
        <vt:lpwstr/>
      </vt:variant>
      <vt:variant>
        <vt:i4>1114161</vt:i4>
      </vt:variant>
      <vt:variant>
        <vt:i4>158</vt:i4>
      </vt:variant>
      <vt:variant>
        <vt:i4>0</vt:i4>
      </vt:variant>
      <vt:variant>
        <vt:i4>5</vt:i4>
      </vt:variant>
      <vt:variant>
        <vt:lpwstr/>
      </vt:variant>
      <vt:variant>
        <vt:lpwstr>_Toc423808640</vt:lpwstr>
      </vt:variant>
      <vt:variant>
        <vt:i4>1441841</vt:i4>
      </vt:variant>
      <vt:variant>
        <vt:i4>152</vt:i4>
      </vt:variant>
      <vt:variant>
        <vt:i4>0</vt:i4>
      </vt:variant>
      <vt:variant>
        <vt:i4>5</vt:i4>
      </vt:variant>
      <vt:variant>
        <vt:lpwstr/>
      </vt:variant>
      <vt:variant>
        <vt:lpwstr>_Toc423808639</vt:lpwstr>
      </vt:variant>
      <vt:variant>
        <vt:i4>1441841</vt:i4>
      </vt:variant>
      <vt:variant>
        <vt:i4>146</vt:i4>
      </vt:variant>
      <vt:variant>
        <vt:i4>0</vt:i4>
      </vt:variant>
      <vt:variant>
        <vt:i4>5</vt:i4>
      </vt:variant>
      <vt:variant>
        <vt:lpwstr/>
      </vt:variant>
      <vt:variant>
        <vt:lpwstr>_Toc423808638</vt:lpwstr>
      </vt:variant>
      <vt:variant>
        <vt:i4>1441841</vt:i4>
      </vt:variant>
      <vt:variant>
        <vt:i4>140</vt:i4>
      </vt:variant>
      <vt:variant>
        <vt:i4>0</vt:i4>
      </vt:variant>
      <vt:variant>
        <vt:i4>5</vt:i4>
      </vt:variant>
      <vt:variant>
        <vt:lpwstr/>
      </vt:variant>
      <vt:variant>
        <vt:lpwstr>_Toc423808637</vt:lpwstr>
      </vt:variant>
      <vt:variant>
        <vt:i4>1441841</vt:i4>
      </vt:variant>
      <vt:variant>
        <vt:i4>134</vt:i4>
      </vt:variant>
      <vt:variant>
        <vt:i4>0</vt:i4>
      </vt:variant>
      <vt:variant>
        <vt:i4>5</vt:i4>
      </vt:variant>
      <vt:variant>
        <vt:lpwstr/>
      </vt:variant>
      <vt:variant>
        <vt:lpwstr>_Toc423808636</vt:lpwstr>
      </vt:variant>
      <vt:variant>
        <vt:i4>1441841</vt:i4>
      </vt:variant>
      <vt:variant>
        <vt:i4>128</vt:i4>
      </vt:variant>
      <vt:variant>
        <vt:i4>0</vt:i4>
      </vt:variant>
      <vt:variant>
        <vt:i4>5</vt:i4>
      </vt:variant>
      <vt:variant>
        <vt:lpwstr/>
      </vt:variant>
      <vt:variant>
        <vt:lpwstr>_Toc423808635</vt:lpwstr>
      </vt:variant>
      <vt:variant>
        <vt:i4>1441841</vt:i4>
      </vt:variant>
      <vt:variant>
        <vt:i4>122</vt:i4>
      </vt:variant>
      <vt:variant>
        <vt:i4>0</vt:i4>
      </vt:variant>
      <vt:variant>
        <vt:i4>5</vt:i4>
      </vt:variant>
      <vt:variant>
        <vt:lpwstr/>
      </vt:variant>
      <vt:variant>
        <vt:lpwstr>_Toc423808634</vt:lpwstr>
      </vt:variant>
      <vt:variant>
        <vt:i4>1441841</vt:i4>
      </vt:variant>
      <vt:variant>
        <vt:i4>116</vt:i4>
      </vt:variant>
      <vt:variant>
        <vt:i4>0</vt:i4>
      </vt:variant>
      <vt:variant>
        <vt:i4>5</vt:i4>
      </vt:variant>
      <vt:variant>
        <vt:lpwstr/>
      </vt:variant>
      <vt:variant>
        <vt:lpwstr>_Toc423808633</vt:lpwstr>
      </vt:variant>
      <vt:variant>
        <vt:i4>1441841</vt:i4>
      </vt:variant>
      <vt:variant>
        <vt:i4>110</vt:i4>
      </vt:variant>
      <vt:variant>
        <vt:i4>0</vt:i4>
      </vt:variant>
      <vt:variant>
        <vt:i4>5</vt:i4>
      </vt:variant>
      <vt:variant>
        <vt:lpwstr/>
      </vt:variant>
      <vt:variant>
        <vt:lpwstr>_Toc423808632</vt:lpwstr>
      </vt:variant>
      <vt:variant>
        <vt:i4>1441841</vt:i4>
      </vt:variant>
      <vt:variant>
        <vt:i4>104</vt:i4>
      </vt:variant>
      <vt:variant>
        <vt:i4>0</vt:i4>
      </vt:variant>
      <vt:variant>
        <vt:i4>5</vt:i4>
      </vt:variant>
      <vt:variant>
        <vt:lpwstr/>
      </vt:variant>
      <vt:variant>
        <vt:lpwstr>_Toc423808631</vt:lpwstr>
      </vt:variant>
      <vt:variant>
        <vt:i4>1441841</vt:i4>
      </vt:variant>
      <vt:variant>
        <vt:i4>98</vt:i4>
      </vt:variant>
      <vt:variant>
        <vt:i4>0</vt:i4>
      </vt:variant>
      <vt:variant>
        <vt:i4>5</vt:i4>
      </vt:variant>
      <vt:variant>
        <vt:lpwstr/>
      </vt:variant>
      <vt:variant>
        <vt:lpwstr>_Toc423808630</vt:lpwstr>
      </vt:variant>
      <vt:variant>
        <vt:i4>1507377</vt:i4>
      </vt:variant>
      <vt:variant>
        <vt:i4>92</vt:i4>
      </vt:variant>
      <vt:variant>
        <vt:i4>0</vt:i4>
      </vt:variant>
      <vt:variant>
        <vt:i4>5</vt:i4>
      </vt:variant>
      <vt:variant>
        <vt:lpwstr/>
      </vt:variant>
      <vt:variant>
        <vt:lpwstr>_Toc423808629</vt:lpwstr>
      </vt:variant>
      <vt:variant>
        <vt:i4>1507377</vt:i4>
      </vt:variant>
      <vt:variant>
        <vt:i4>86</vt:i4>
      </vt:variant>
      <vt:variant>
        <vt:i4>0</vt:i4>
      </vt:variant>
      <vt:variant>
        <vt:i4>5</vt:i4>
      </vt:variant>
      <vt:variant>
        <vt:lpwstr/>
      </vt:variant>
      <vt:variant>
        <vt:lpwstr>_Toc423808628</vt:lpwstr>
      </vt:variant>
      <vt:variant>
        <vt:i4>1507377</vt:i4>
      </vt:variant>
      <vt:variant>
        <vt:i4>80</vt:i4>
      </vt:variant>
      <vt:variant>
        <vt:i4>0</vt:i4>
      </vt:variant>
      <vt:variant>
        <vt:i4>5</vt:i4>
      </vt:variant>
      <vt:variant>
        <vt:lpwstr/>
      </vt:variant>
      <vt:variant>
        <vt:lpwstr>_Toc423808627</vt:lpwstr>
      </vt:variant>
      <vt:variant>
        <vt:i4>1507377</vt:i4>
      </vt:variant>
      <vt:variant>
        <vt:i4>74</vt:i4>
      </vt:variant>
      <vt:variant>
        <vt:i4>0</vt:i4>
      </vt:variant>
      <vt:variant>
        <vt:i4>5</vt:i4>
      </vt:variant>
      <vt:variant>
        <vt:lpwstr/>
      </vt:variant>
      <vt:variant>
        <vt:lpwstr>_Toc423808626</vt:lpwstr>
      </vt:variant>
      <vt:variant>
        <vt:i4>1507377</vt:i4>
      </vt:variant>
      <vt:variant>
        <vt:i4>68</vt:i4>
      </vt:variant>
      <vt:variant>
        <vt:i4>0</vt:i4>
      </vt:variant>
      <vt:variant>
        <vt:i4>5</vt:i4>
      </vt:variant>
      <vt:variant>
        <vt:lpwstr/>
      </vt:variant>
      <vt:variant>
        <vt:lpwstr>_Toc423808625</vt:lpwstr>
      </vt:variant>
      <vt:variant>
        <vt:i4>1507377</vt:i4>
      </vt:variant>
      <vt:variant>
        <vt:i4>62</vt:i4>
      </vt:variant>
      <vt:variant>
        <vt:i4>0</vt:i4>
      </vt:variant>
      <vt:variant>
        <vt:i4>5</vt:i4>
      </vt:variant>
      <vt:variant>
        <vt:lpwstr/>
      </vt:variant>
      <vt:variant>
        <vt:lpwstr>_Toc423808624</vt:lpwstr>
      </vt:variant>
      <vt:variant>
        <vt:i4>1507377</vt:i4>
      </vt:variant>
      <vt:variant>
        <vt:i4>56</vt:i4>
      </vt:variant>
      <vt:variant>
        <vt:i4>0</vt:i4>
      </vt:variant>
      <vt:variant>
        <vt:i4>5</vt:i4>
      </vt:variant>
      <vt:variant>
        <vt:lpwstr/>
      </vt:variant>
      <vt:variant>
        <vt:lpwstr>_Toc423808623</vt:lpwstr>
      </vt:variant>
      <vt:variant>
        <vt:i4>1507377</vt:i4>
      </vt:variant>
      <vt:variant>
        <vt:i4>50</vt:i4>
      </vt:variant>
      <vt:variant>
        <vt:i4>0</vt:i4>
      </vt:variant>
      <vt:variant>
        <vt:i4>5</vt:i4>
      </vt:variant>
      <vt:variant>
        <vt:lpwstr/>
      </vt:variant>
      <vt:variant>
        <vt:lpwstr>_Toc423808622</vt:lpwstr>
      </vt:variant>
      <vt:variant>
        <vt:i4>1507377</vt:i4>
      </vt:variant>
      <vt:variant>
        <vt:i4>44</vt:i4>
      </vt:variant>
      <vt:variant>
        <vt:i4>0</vt:i4>
      </vt:variant>
      <vt:variant>
        <vt:i4>5</vt:i4>
      </vt:variant>
      <vt:variant>
        <vt:lpwstr/>
      </vt:variant>
      <vt:variant>
        <vt:lpwstr>_Toc423808621</vt:lpwstr>
      </vt:variant>
      <vt:variant>
        <vt:i4>1507377</vt:i4>
      </vt:variant>
      <vt:variant>
        <vt:i4>38</vt:i4>
      </vt:variant>
      <vt:variant>
        <vt:i4>0</vt:i4>
      </vt:variant>
      <vt:variant>
        <vt:i4>5</vt:i4>
      </vt:variant>
      <vt:variant>
        <vt:lpwstr/>
      </vt:variant>
      <vt:variant>
        <vt:lpwstr>_Toc423808620</vt:lpwstr>
      </vt:variant>
      <vt:variant>
        <vt:i4>1310769</vt:i4>
      </vt:variant>
      <vt:variant>
        <vt:i4>32</vt:i4>
      </vt:variant>
      <vt:variant>
        <vt:i4>0</vt:i4>
      </vt:variant>
      <vt:variant>
        <vt:i4>5</vt:i4>
      </vt:variant>
      <vt:variant>
        <vt:lpwstr/>
      </vt:variant>
      <vt:variant>
        <vt:lpwstr>_Toc423808619</vt:lpwstr>
      </vt:variant>
      <vt:variant>
        <vt:i4>1310769</vt:i4>
      </vt:variant>
      <vt:variant>
        <vt:i4>26</vt:i4>
      </vt:variant>
      <vt:variant>
        <vt:i4>0</vt:i4>
      </vt:variant>
      <vt:variant>
        <vt:i4>5</vt:i4>
      </vt:variant>
      <vt:variant>
        <vt:lpwstr/>
      </vt:variant>
      <vt:variant>
        <vt:lpwstr>_Toc423808618</vt:lpwstr>
      </vt:variant>
      <vt:variant>
        <vt:i4>1310769</vt:i4>
      </vt:variant>
      <vt:variant>
        <vt:i4>20</vt:i4>
      </vt:variant>
      <vt:variant>
        <vt:i4>0</vt:i4>
      </vt:variant>
      <vt:variant>
        <vt:i4>5</vt:i4>
      </vt:variant>
      <vt:variant>
        <vt:lpwstr/>
      </vt:variant>
      <vt:variant>
        <vt:lpwstr>_Toc423808617</vt:lpwstr>
      </vt:variant>
      <vt:variant>
        <vt:i4>1310769</vt:i4>
      </vt:variant>
      <vt:variant>
        <vt:i4>14</vt:i4>
      </vt:variant>
      <vt:variant>
        <vt:i4>0</vt:i4>
      </vt:variant>
      <vt:variant>
        <vt:i4>5</vt:i4>
      </vt:variant>
      <vt:variant>
        <vt:lpwstr/>
      </vt:variant>
      <vt:variant>
        <vt:lpwstr>_Toc423808616</vt:lpwstr>
      </vt:variant>
      <vt:variant>
        <vt:i4>1310769</vt:i4>
      </vt:variant>
      <vt:variant>
        <vt:i4>8</vt:i4>
      </vt:variant>
      <vt:variant>
        <vt:i4>0</vt:i4>
      </vt:variant>
      <vt:variant>
        <vt:i4>5</vt:i4>
      </vt:variant>
      <vt:variant>
        <vt:lpwstr/>
      </vt:variant>
      <vt:variant>
        <vt:lpwstr>_Toc423808615</vt:lpwstr>
      </vt:variant>
      <vt:variant>
        <vt:i4>1310769</vt:i4>
      </vt:variant>
      <vt:variant>
        <vt:i4>2</vt:i4>
      </vt:variant>
      <vt:variant>
        <vt:i4>0</vt:i4>
      </vt:variant>
      <vt:variant>
        <vt:i4>5</vt:i4>
      </vt:variant>
      <vt:variant>
        <vt:lpwstr/>
      </vt:variant>
      <vt:variant>
        <vt:lpwstr>_Toc423808614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Customising ASDEFCON (Support) for CSC</dc:title>
  <dc:subject>Contractor Standing Capability</dc:subject>
  <dc:creator/>
  <cp:keywords>Contractor Standing Capability, CSC, Engineering</cp:keywords>
  <cp:lastModifiedBy>Christian Uhrenfeldt</cp:lastModifiedBy>
  <cp:revision>65</cp:revision>
  <cp:lastPrinted>2010-07-26T03:20:00Z</cp:lastPrinted>
  <dcterms:created xsi:type="dcterms:W3CDTF">2018-07-13T03:51:00Z</dcterms:created>
  <dcterms:modified xsi:type="dcterms:W3CDTF">2021-10-07T02:56:00Z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BM24136441</vt:lpwstr>
  </property>
  <property fmtid="{D5CDD505-2E9C-101B-9397-08002B2CF9AE}" pid="4" name="Objective-Title">
    <vt:lpwstr>01_SPTV5.0_CSC_General</vt:lpwstr>
  </property>
  <property fmtid="{D5CDD505-2E9C-101B-9397-08002B2CF9AE}" pid="5" name="Objective-Comment">
    <vt:lpwstr/>
  </property>
  <property fmtid="{D5CDD505-2E9C-101B-9397-08002B2CF9AE}" pid="6" name="Objective-CreationStamp">
    <vt:filetime>2021-02-02T00:55:21Z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2021-10-07T02:50:16Z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08 CSC Module</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7</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CSC Module </vt:lpwstr>
  </property>
  <property fmtid="{D5CDD505-2E9C-101B-9397-08002B2CF9AE}" pid="24" name="Classification">
    <vt:lpwstr>OFFICIAL</vt:lpwstr>
  </property>
  <property fmtid="{D5CDD505-2E9C-101B-9397-08002B2CF9AE}" pid="25" name="Footer_Left">
    <vt:lpwstr/>
  </property>
</Properties>
</file>